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E1BD" w14:textId="77777777" w:rsidR="00072820" w:rsidRDefault="00072820" w:rsidP="00072820">
      <w:pPr>
        <w:jc w:val="center"/>
        <w:rPr>
          <w:b/>
          <w:bCs/>
          <w:lang w:val="en-GB"/>
        </w:rPr>
      </w:pPr>
      <w:r>
        <w:rPr>
          <w:noProof/>
        </w:rPr>
        <w:drawing>
          <wp:inline distT="0" distB="0" distL="0" distR="0" wp14:anchorId="599BF32A" wp14:editId="7C8E8176">
            <wp:extent cx="2876550" cy="989606"/>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515" cy="1013676"/>
                    </a:xfrm>
                    <a:prstGeom prst="rect">
                      <a:avLst/>
                    </a:prstGeom>
                    <a:noFill/>
                    <a:ln>
                      <a:noFill/>
                    </a:ln>
                  </pic:spPr>
                </pic:pic>
              </a:graphicData>
            </a:graphic>
          </wp:inline>
        </w:drawing>
      </w:r>
    </w:p>
    <w:p w14:paraId="0030FFAF" w14:textId="77777777" w:rsidR="00072820" w:rsidRDefault="00072820" w:rsidP="00072820">
      <w:pPr>
        <w:jc w:val="both"/>
        <w:rPr>
          <w:b/>
          <w:bCs/>
          <w:lang w:val="en-GB"/>
        </w:rPr>
      </w:pPr>
    </w:p>
    <w:p w14:paraId="72CD7EF7" w14:textId="77777777" w:rsidR="00072820" w:rsidRDefault="00072820" w:rsidP="00072820">
      <w:pPr>
        <w:jc w:val="center"/>
        <w:rPr>
          <w:rFonts w:ascii="Cambria" w:hAnsi="Cambria"/>
          <w:b/>
          <w:bCs/>
        </w:rPr>
      </w:pPr>
    </w:p>
    <w:p w14:paraId="508CB1E2" w14:textId="77777777" w:rsidR="00072820" w:rsidRPr="001C61B6" w:rsidRDefault="00072820" w:rsidP="00072820">
      <w:pPr>
        <w:jc w:val="center"/>
        <w:rPr>
          <w:rFonts w:ascii="Cambria" w:hAnsi="Cambria"/>
          <w:b/>
          <w:bCs/>
          <w:sz w:val="22"/>
          <w:szCs w:val="22"/>
          <w:lang w:val="en-GB"/>
        </w:rPr>
      </w:pPr>
      <w:r w:rsidRPr="001C61B6">
        <w:rPr>
          <w:rFonts w:ascii="Cambria" w:hAnsi="Cambria"/>
          <w:b/>
          <w:bCs/>
          <w:sz w:val="22"/>
          <w:szCs w:val="22"/>
          <w:lang w:val="en-GB"/>
        </w:rPr>
        <w:t>NETWORK OF THE PRESIDENTS OF THE SUPREME JUDICIAL COURTS OF THE EUROPEAN UNION</w:t>
      </w:r>
    </w:p>
    <w:p w14:paraId="4090FF65" w14:textId="77777777" w:rsidR="00072820" w:rsidRPr="00B86C63" w:rsidRDefault="00072820" w:rsidP="00072820">
      <w:pPr>
        <w:jc w:val="center"/>
        <w:rPr>
          <w:b/>
          <w:bCs/>
          <w:lang w:val="en-GB"/>
        </w:rPr>
      </w:pPr>
    </w:p>
    <w:p w14:paraId="15A2ACCC" w14:textId="77777777" w:rsidR="00072820" w:rsidRPr="00B86C63" w:rsidRDefault="00072820" w:rsidP="00072820">
      <w:pPr>
        <w:jc w:val="center"/>
        <w:rPr>
          <w:rFonts w:ascii="Cambria" w:hAnsi="Cambria"/>
          <w:b/>
          <w:bCs/>
          <w:lang w:val="en-GB"/>
        </w:rPr>
      </w:pPr>
      <w:r w:rsidRPr="00B86C63">
        <w:rPr>
          <w:rFonts w:ascii="Cambria" w:hAnsi="Cambria"/>
          <w:b/>
          <w:bCs/>
          <w:lang w:val="en-GB"/>
        </w:rPr>
        <w:t xml:space="preserve">COLLOQUIUM OF THE NETWORK </w:t>
      </w:r>
    </w:p>
    <w:p w14:paraId="1CCBBF31" w14:textId="77777777" w:rsidR="00072820" w:rsidRPr="00B86C63" w:rsidRDefault="00072820" w:rsidP="00072820">
      <w:pPr>
        <w:jc w:val="center"/>
        <w:rPr>
          <w:rFonts w:ascii="Cambria" w:hAnsi="Cambria"/>
          <w:b/>
          <w:bCs/>
          <w:lang w:val="en-GB"/>
        </w:rPr>
      </w:pPr>
      <w:r w:rsidRPr="00B86C63">
        <w:rPr>
          <w:rFonts w:ascii="Cambria" w:hAnsi="Cambria"/>
          <w:b/>
          <w:bCs/>
          <w:lang w:val="en-GB"/>
        </w:rPr>
        <w:t>&amp;</w:t>
      </w:r>
    </w:p>
    <w:p w14:paraId="4F726D4D" w14:textId="7DEEF91D" w:rsidR="00072820" w:rsidRPr="00B86C63" w:rsidRDefault="00072820" w:rsidP="00072820">
      <w:pPr>
        <w:jc w:val="center"/>
        <w:rPr>
          <w:rFonts w:ascii="Cambria" w:hAnsi="Cambria"/>
          <w:b/>
          <w:bCs/>
          <w:lang w:val="en-GB"/>
        </w:rPr>
      </w:pPr>
      <w:r w:rsidRPr="00B86C63">
        <w:rPr>
          <w:rFonts w:ascii="Cambria" w:hAnsi="Cambria"/>
          <w:b/>
          <w:bCs/>
          <w:lang w:val="en-GB"/>
        </w:rPr>
        <w:t xml:space="preserve">JOINT MEETING WITH THE COURT OF JUSTICE OF THE EUROPEAN UNION </w:t>
      </w:r>
    </w:p>
    <w:p w14:paraId="73D80D25" w14:textId="77777777" w:rsidR="00072820" w:rsidRPr="00B86C63" w:rsidRDefault="00072820" w:rsidP="00072820">
      <w:pPr>
        <w:jc w:val="center"/>
        <w:rPr>
          <w:rFonts w:ascii="Cambria" w:hAnsi="Cambria"/>
          <w:b/>
          <w:bCs/>
          <w:lang w:val="en-GB"/>
        </w:rPr>
      </w:pPr>
    </w:p>
    <w:p w14:paraId="427D2D0B" w14:textId="66F9B09F" w:rsidR="00072820" w:rsidRPr="00B86C63" w:rsidRDefault="00C12AA0" w:rsidP="00072820">
      <w:pPr>
        <w:jc w:val="center"/>
        <w:rPr>
          <w:rFonts w:ascii="Cambria" w:eastAsia="Dotum" w:hAnsi="Cambria" w:cs="David"/>
          <w:b/>
          <w:bCs/>
          <w:sz w:val="20"/>
          <w:szCs w:val="20"/>
          <w:lang w:val="en-GB"/>
        </w:rPr>
      </w:pPr>
      <w:r>
        <w:rPr>
          <w:rFonts w:ascii="Cambria" w:eastAsia="Dotum" w:hAnsi="Cambria" w:cs="David"/>
          <w:b/>
          <w:bCs/>
          <w:sz w:val="20"/>
          <w:szCs w:val="20"/>
          <w:lang w:val="en-GB"/>
        </w:rPr>
        <w:t>2</w:t>
      </w:r>
      <w:r w:rsidR="00517CAF">
        <w:rPr>
          <w:rFonts w:ascii="Cambria" w:eastAsia="Dotum" w:hAnsi="Cambria" w:cs="David"/>
          <w:b/>
          <w:bCs/>
          <w:sz w:val="20"/>
          <w:szCs w:val="20"/>
          <w:lang w:val="en-GB"/>
        </w:rPr>
        <w:t>8</w:t>
      </w:r>
      <w:r>
        <w:rPr>
          <w:rFonts w:ascii="Cambria" w:eastAsia="Dotum" w:hAnsi="Cambria" w:cs="David"/>
          <w:b/>
          <w:bCs/>
          <w:sz w:val="20"/>
          <w:szCs w:val="20"/>
          <w:lang w:val="en-GB"/>
        </w:rPr>
        <w:t xml:space="preserve"> MARCH </w:t>
      </w:r>
      <w:r w:rsidR="00072820" w:rsidRPr="00B86C63">
        <w:rPr>
          <w:rFonts w:ascii="Cambria" w:eastAsia="Dotum" w:hAnsi="Cambria" w:cs="David"/>
          <w:b/>
          <w:bCs/>
          <w:sz w:val="20"/>
          <w:szCs w:val="20"/>
          <w:lang w:val="en-GB"/>
        </w:rPr>
        <w:t>202</w:t>
      </w:r>
      <w:r>
        <w:rPr>
          <w:rFonts w:ascii="Cambria" w:eastAsia="Dotum" w:hAnsi="Cambria" w:cs="David"/>
          <w:b/>
          <w:bCs/>
          <w:sz w:val="20"/>
          <w:szCs w:val="20"/>
          <w:lang w:val="en-GB"/>
        </w:rPr>
        <w:t>5</w:t>
      </w:r>
    </w:p>
    <w:p w14:paraId="5735C85A" w14:textId="43066E06" w:rsidR="00072820" w:rsidRPr="00B86C63" w:rsidRDefault="00C12AA0" w:rsidP="00072820">
      <w:pPr>
        <w:jc w:val="center"/>
        <w:rPr>
          <w:rFonts w:ascii="Cambria" w:eastAsia="Dotum" w:hAnsi="Cambria" w:cs="David"/>
          <w:b/>
          <w:bCs/>
          <w:sz w:val="20"/>
          <w:szCs w:val="20"/>
          <w:lang w:val="en-GB"/>
        </w:rPr>
      </w:pPr>
      <w:r>
        <w:rPr>
          <w:rFonts w:ascii="Cambria" w:eastAsia="Dotum" w:hAnsi="Cambria" w:cs="David"/>
          <w:b/>
          <w:bCs/>
          <w:sz w:val="20"/>
          <w:szCs w:val="20"/>
          <w:lang w:val="en-GB"/>
        </w:rPr>
        <w:t xml:space="preserve">LUXEMBOURG </w:t>
      </w:r>
    </w:p>
    <w:p w14:paraId="4553F7DE" w14:textId="77777777" w:rsidR="00072820" w:rsidRPr="00B86C63" w:rsidRDefault="00072820" w:rsidP="00072820">
      <w:pPr>
        <w:jc w:val="center"/>
        <w:rPr>
          <w:rFonts w:ascii="Cambria" w:eastAsia="Dotum" w:hAnsi="Cambria" w:cs="David"/>
          <w:b/>
          <w:bCs/>
          <w:sz w:val="20"/>
          <w:szCs w:val="20"/>
          <w:lang w:val="en-GB"/>
        </w:rPr>
      </w:pPr>
    </w:p>
    <w:p w14:paraId="4158CAF4" w14:textId="77777777" w:rsidR="00072820" w:rsidRPr="00B86C63" w:rsidRDefault="00072820" w:rsidP="00072820">
      <w:pPr>
        <w:jc w:val="center"/>
        <w:rPr>
          <w:rFonts w:ascii="Cambria" w:eastAsia="Dotum" w:hAnsi="Cambria" w:cs="David"/>
          <w:b/>
          <w:bCs/>
          <w:sz w:val="18"/>
          <w:szCs w:val="18"/>
          <w:lang w:val="en-GB"/>
        </w:rPr>
      </w:pPr>
    </w:p>
    <w:p w14:paraId="066EBB2D" w14:textId="2A68AF59" w:rsidR="00072820" w:rsidRPr="00B86C63" w:rsidRDefault="00C12AA0" w:rsidP="00072820">
      <w:pPr>
        <w:spacing w:after="80"/>
        <w:jc w:val="center"/>
        <w:rPr>
          <w:rFonts w:ascii="Cambria" w:eastAsia="Dotum" w:hAnsi="Cambria" w:cs="David"/>
          <w:b/>
          <w:bCs/>
          <w:sz w:val="28"/>
          <w:szCs w:val="28"/>
          <w:lang w:val="en-GB"/>
        </w:rPr>
      </w:pPr>
      <w:r>
        <w:rPr>
          <w:rFonts w:ascii="Cambria" w:eastAsia="Dotum" w:hAnsi="Cambria" w:cs="David"/>
          <w:b/>
          <w:bCs/>
          <w:sz w:val="28"/>
          <w:szCs w:val="28"/>
          <w:lang w:val="en-GB"/>
        </w:rPr>
        <w:t>Topic 2: “</w:t>
      </w:r>
      <w:bookmarkStart w:id="0" w:name="_Hlk179033722"/>
      <w:r w:rsidRPr="00C12AA0">
        <w:rPr>
          <w:rFonts w:ascii="Cambria" w:eastAsia="Dotum" w:hAnsi="Cambria" w:cs="David"/>
          <w:b/>
          <w:bCs/>
          <w:sz w:val="28"/>
          <w:szCs w:val="28"/>
          <w:lang w:val="en-GB"/>
        </w:rPr>
        <w:t xml:space="preserve">GDPR </w:t>
      </w:r>
      <w:r w:rsidR="00AC12FC">
        <w:rPr>
          <w:rFonts w:ascii="Cambria" w:eastAsia="Dotum" w:hAnsi="Cambria" w:cs="David"/>
          <w:b/>
          <w:bCs/>
          <w:sz w:val="28"/>
          <w:szCs w:val="28"/>
          <w:lang w:val="en-GB"/>
        </w:rPr>
        <w:t>s</w:t>
      </w:r>
      <w:r w:rsidRPr="00C12AA0">
        <w:rPr>
          <w:rFonts w:ascii="Cambria" w:eastAsia="Dotum" w:hAnsi="Cambria" w:cs="David"/>
          <w:b/>
          <w:bCs/>
          <w:sz w:val="28"/>
          <w:szCs w:val="28"/>
          <w:lang w:val="en-GB"/>
        </w:rPr>
        <w:t>upervision of judicial processing of personal data</w:t>
      </w:r>
      <w:bookmarkEnd w:id="0"/>
      <w:r>
        <w:rPr>
          <w:rFonts w:ascii="Cambria" w:eastAsia="Dotum" w:hAnsi="Cambria" w:cs="David"/>
          <w:b/>
          <w:bCs/>
          <w:sz w:val="28"/>
          <w:szCs w:val="28"/>
          <w:lang w:val="en-GB"/>
        </w:rPr>
        <w:t>”</w:t>
      </w:r>
      <w:r w:rsidRPr="00C12AA0">
        <w:rPr>
          <w:rFonts w:ascii="Cambria" w:eastAsia="Dotum" w:hAnsi="Cambria" w:cs="David"/>
          <w:b/>
          <w:bCs/>
          <w:sz w:val="28"/>
          <w:szCs w:val="28"/>
          <w:lang w:val="en-GB"/>
        </w:rPr>
        <w:t xml:space="preserve"> </w:t>
      </w:r>
    </w:p>
    <w:p w14:paraId="610F5A3A" w14:textId="77777777" w:rsidR="00072820" w:rsidRPr="00B86C63" w:rsidRDefault="00072820" w:rsidP="00072820">
      <w:pPr>
        <w:spacing w:after="80"/>
        <w:jc w:val="center"/>
        <w:rPr>
          <w:rFonts w:ascii="Cambria" w:eastAsia="Dotum" w:hAnsi="Cambria" w:cs="David"/>
          <w:b/>
          <w:bCs/>
          <w:lang w:val="en-GB"/>
        </w:rPr>
      </w:pPr>
    </w:p>
    <w:p w14:paraId="25055BB5" w14:textId="712D6B98" w:rsidR="00072820" w:rsidRDefault="00072820" w:rsidP="00072820">
      <w:pPr>
        <w:spacing w:after="80"/>
        <w:jc w:val="center"/>
        <w:rPr>
          <w:rFonts w:ascii="Cambria" w:eastAsia="Dotum" w:hAnsi="Cambria" w:cs="David"/>
          <w:b/>
          <w:bCs/>
          <w:lang w:val="en-GB"/>
        </w:rPr>
      </w:pPr>
      <w:r w:rsidRPr="00B86C63">
        <w:rPr>
          <w:rFonts w:ascii="Cambria" w:eastAsia="Dotum" w:hAnsi="Cambria" w:cs="David"/>
          <w:b/>
          <w:bCs/>
          <w:lang w:val="en-GB"/>
        </w:rPr>
        <w:t>QUESTIONNAIRE</w:t>
      </w:r>
    </w:p>
    <w:p w14:paraId="7DD30BA2" w14:textId="77777777" w:rsidR="00072820" w:rsidRPr="00B86C63" w:rsidRDefault="00072820" w:rsidP="00072820">
      <w:pPr>
        <w:spacing w:after="80"/>
        <w:jc w:val="center"/>
        <w:rPr>
          <w:rFonts w:ascii="Cambria" w:eastAsia="Dotum" w:hAnsi="Cambria" w:cs="David"/>
          <w:b/>
          <w:bCs/>
          <w:i/>
          <w:iCs/>
          <w:lang w:val="en-GB"/>
        </w:rPr>
      </w:pPr>
    </w:p>
    <w:p w14:paraId="756D757C" w14:textId="77777777" w:rsidR="00FC7FDF" w:rsidRPr="00171348" w:rsidRDefault="00FC7FDF">
      <w:pPr>
        <w:rPr>
          <w:lang w:val="en-GB"/>
        </w:rPr>
      </w:pPr>
    </w:p>
    <w:p w14:paraId="03411CEC" w14:textId="77777777" w:rsidR="00374FCA" w:rsidRPr="00E57354" w:rsidRDefault="007E7892" w:rsidP="00E57354">
      <w:pPr>
        <w:pStyle w:val="ListParagraph"/>
        <w:numPr>
          <w:ilvl w:val="0"/>
          <w:numId w:val="1"/>
        </w:numPr>
        <w:rPr>
          <w:b/>
          <w:i/>
          <w:iCs/>
          <w:lang w:val="en-GB"/>
        </w:rPr>
      </w:pPr>
      <w:r w:rsidRPr="00E57354">
        <w:rPr>
          <w:b/>
          <w:i/>
          <w:iCs/>
          <w:lang w:val="en-GB"/>
        </w:rPr>
        <w:t>Introduction</w:t>
      </w:r>
    </w:p>
    <w:p w14:paraId="73FF3B69" w14:textId="77777777" w:rsidR="00374FCA" w:rsidRPr="009E71C8" w:rsidRDefault="00374FCA">
      <w:pPr>
        <w:rPr>
          <w:i/>
          <w:iCs/>
          <w:lang w:val="en-GB"/>
        </w:rPr>
      </w:pPr>
    </w:p>
    <w:p w14:paraId="17DA3DE3" w14:textId="63A3232F" w:rsidR="00530705" w:rsidRPr="005A0610" w:rsidRDefault="00530705" w:rsidP="00C12AA0">
      <w:pPr>
        <w:pStyle w:val="ListParagraph"/>
        <w:numPr>
          <w:ilvl w:val="0"/>
          <w:numId w:val="2"/>
        </w:numPr>
        <w:contextualSpacing w:val="0"/>
        <w:rPr>
          <w:rFonts w:eastAsia="Times New Roman"/>
          <w:lang w:val="en-GB"/>
        </w:rPr>
      </w:pPr>
      <w:r>
        <w:rPr>
          <w:lang w:val="en-GB"/>
        </w:rPr>
        <w:t xml:space="preserve">The work of the courts goes hand in hand with the processing of personal data of people. Personal data of parties, witnesses, experts, judges, registrars, public prosecutors, lawyers, etc, may be processed by judges as well as the court administration when dealing with cases, deciding cases, providing judgments and decisions, and as part of </w:t>
      </w:r>
      <w:r w:rsidR="00D742BB">
        <w:rPr>
          <w:lang w:val="en-GB"/>
        </w:rPr>
        <w:t xml:space="preserve">their </w:t>
      </w:r>
      <w:r>
        <w:rPr>
          <w:lang w:val="en-GB"/>
        </w:rPr>
        <w:t xml:space="preserve">publishing activities. </w:t>
      </w:r>
    </w:p>
    <w:p w14:paraId="11FAC33B" w14:textId="77777777" w:rsidR="003C695D" w:rsidRPr="005A0610" w:rsidRDefault="003C695D" w:rsidP="005A0610">
      <w:pPr>
        <w:rPr>
          <w:rFonts w:eastAsia="Times New Roman"/>
          <w:lang w:val="en-GB"/>
        </w:rPr>
      </w:pPr>
    </w:p>
    <w:p w14:paraId="168A6B54" w14:textId="47F175D2" w:rsidR="00C12AA0" w:rsidRDefault="00C12AA0" w:rsidP="00C12AA0">
      <w:pPr>
        <w:pStyle w:val="ListParagraph"/>
        <w:numPr>
          <w:ilvl w:val="0"/>
          <w:numId w:val="2"/>
        </w:numPr>
        <w:spacing w:after="240"/>
        <w:rPr>
          <w:lang w:val="en-GB"/>
        </w:rPr>
      </w:pPr>
      <w:r>
        <w:rPr>
          <w:lang w:val="en-GB"/>
        </w:rPr>
        <w:t xml:space="preserve">The General Data Protection Regulation (Regulation (EU) 2016/679) states in </w:t>
      </w:r>
      <w:r w:rsidR="00597605">
        <w:rPr>
          <w:lang w:val="en-GB"/>
        </w:rPr>
        <w:t xml:space="preserve">Recital </w:t>
      </w:r>
      <w:r>
        <w:rPr>
          <w:lang w:val="en-GB"/>
        </w:rPr>
        <w:t xml:space="preserve">20: </w:t>
      </w:r>
      <w:r>
        <w:rPr>
          <w:lang w:val="en-GB"/>
        </w:rPr>
        <w:br/>
        <w:t>“While this Regulation applies, inter alia, to the activities of courts and other judicial authorities, Union or Member State law could specify the processing operations and processing procedures in relation to the processing of personal data by courts and other judicial authorities. The competence of the supervisory authorities should not cover the processing of personal data when courts are acting in their judicial capacity, in order to safeguard the independence of the judiciary in the performance of its judicial tasks, including decision</w:t>
      </w:r>
      <w:r w:rsidR="00530705">
        <w:rPr>
          <w:lang w:val="en-GB"/>
        </w:rPr>
        <w:t>-</w:t>
      </w:r>
      <w:r>
        <w:rPr>
          <w:lang w:val="en-GB"/>
        </w:rPr>
        <w:t>making. It should be possible to entrust supervision of such data processing operations to specific bodies within the judicial system of the Member State, which should, in particular ensure compliance with the rules of this Regulation, enhance awareness among members of the judiciary of their obligations under this Regulation and handle complaints in relation to such data processing operations.”</w:t>
      </w:r>
    </w:p>
    <w:p w14:paraId="4686E43B" w14:textId="77777777" w:rsidR="005A7E1E" w:rsidRPr="005A7E1E" w:rsidRDefault="005A7E1E" w:rsidP="005A7E1E">
      <w:pPr>
        <w:pStyle w:val="ListParagraph"/>
        <w:rPr>
          <w:lang w:val="en-GB"/>
        </w:rPr>
      </w:pPr>
    </w:p>
    <w:p w14:paraId="19896225" w14:textId="4F37D563" w:rsidR="005A7E1E" w:rsidRPr="005A7E1E" w:rsidRDefault="005A7E1E" w:rsidP="005A7E1E">
      <w:pPr>
        <w:pStyle w:val="ListParagraph"/>
        <w:numPr>
          <w:ilvl w:val="0"/>
          <w:numId w:val="2"/>
        </w:numPr>
        <w:spacing w:after="240"/>
        <w:rPr>
          <w:lang w:val="en-GB"/>
        </w:rPr>
      </w:pPr>
      <w:r>
        <w:rPr>
          <w:lang w:val="en-GB"/>
        </w:rPr>
        <w:lastRenderedPageBreak/>
        <w:t xml:space="preserve">Article 55 </w:t>
      </w:r>
      <w:r w:rsidR="00D742BB">
        <w:rPr>
          <w:lang w:val="en-GB"/>
        </w:rPr>
        <w:t>(</w:t>
      </w:r>
      <w:r>
        <w:rPr>
          <w:lang w:val="en-GB"/>
        </w:rPr>
        <w:t>3</w:t>
      </w:r>
      <w:r w:rsidR="00D742BB">
        <w:rPr>
          <w:lang w:val="en-GB"/>
        </w:rPr>
        <w:t>)</w:t>
      </w:r>
      <w:r>
        <w:rPr>
          <w:lang w:val="en-GB"/>
        </w:rPr>
        <w:t xml:space="preserve"> GDPR </w:t>
      </w:r>
      <w:r w:rsidR="00AC12FC">
        <w:rPr>
          <w:lang w:val="en-GB"/>
        </w:rPr>
        <w:t>states</w:t>
      </w:r>
      <w:r w:rsidR="00692C80">
        <w:rPr>
          <w:lang w:val="en-GB"/>
        </w:rPr>
        <w:t xml:space="preserve"> that</w:t>
      </w:r>
      <w:r w:rsidR="00AC12FC">
        <w:rPr>
          <w:lang w:val="en-GB"/>
        </w:rPr>
        <w:t xml:space="preserve"> </w:t>
      </w:r>
      <w:r w:rsidR="00692C80">
        <w:rPr>
          <w:lang w:val="en-GB"/>
        </w:rPr>
        <w:t>s</w:t>
      </w:r>
      <w:r>
        <w:rPr>
          <w:lang w:val="en-GB"/>
        </w:rPr>
        <w:t xml:space="preserve">upervisory authorities shall not be competent to supervise processing operations of courts acting in their judicial capacity. </w:t>
      </w:r>
    </w:p>
    <w:p w14:paraId="21D554AA" w14:textId="77777777" w:rsidR="005A0610" w:rsidRPr="005A0610" w:rsidRDefault="005A0610" w:rsidP="005A0610">
      <w:pPr>
        <w:pStyle w:val="ListParagraph"/>
        <w:rPr>
          <w:lang w:val="en-GB"/>
        </w:rPr>
      </w:pPr>
    </w:p>
    <w:p w14:paraId="1D10550C" w14:textId="2ACD82BB" w:rsidR="002766B4" w:rsidRPr="005A7E1E" w:rsidRDefault="005A0610" w:rsidP="005A7E1E">
      <w:pPr>
        <w:pStyle w:val="ListParagraph"/>
        <w:numPr>
          <w:ilvl w:val="0"/>
          <w:numId w:val="2"/>
        </w:numPr>
        <w:spacing w:after="240"/>
        <w:rPr>
          <w:lang w:val="en-GB"/>
        </w:rPr>
      </w:pPr>
      <w:r w:rsidRPr="005A0610">
        <w:rPr>
          <w:rFonts w:eastAsia="Times New Roman"/>
          <w:iCs/>
          <w:lang w:val="en-GB"/>
        </w:rPr>
        <w:t>The focus of this topic is on th</w:t>
      </w:r>
      <w:r w:rsidR="00EF7957">
        <w:rPr>
          <w:rFonts w:eastAsia="Times New Roman"/>
          <w:iCs/>
          <w:lang w:val="en-GB"/>
        </w:rPr>
        <w:t>e</w:t>
      </w:r>
      <w:r w:rsidR="005A7E1E">
        <w:rPr>
          <w:rFonts w:eastAsia="Times New Roman"/>
          <w:iCs/>
          <w:lang w:val="en-GB"/>
        </w:rPr>
        <w:t xml:space="preserve"> </w:t>
      </w:r>
      <w:r w:rsidRPr="005A0610">
        <w:rPr>
          <w:rFonts w:eastAsia="Times New Roman"/>
          <w:iCs/>
          <w:lang w:val="en-GB"/>
        </w:rPr>
        <w:t>GDPR supervisory role of specific bodies within the judicial system</w:t>
      </w:r>
      <w:r w:rsidR="009B5575">
        <w:rPr>
          <w:rFonts w:eastAsia="Times New Roman"/>
          <w:iCs/>
          <w:lang w:val="en-GB"/>
        </w:rPr>
        <w:t>s</w:t>
      </w:r>
      <w:r w:rsidRPr="005A0610">
        <w:rPr>
          <w:rFonts w:eastAsia="Times New Roman"/>
          <w:iCs/>
          <w:lang w:val="en-GB"/>
        </w:rPr>
        <w:t xml:space="preserve"> of the Member States with regard to the processing operations of courts acting in their judicial capacity</w:t>
      </w:r>
      <w:r w:rsidR="009B5575">
        <w:rPr>
          <w:rFonts w:eastAsia="Times New Roman"/>
          <w:iCs/>
          <w:lang w:val="en-GB"/>
        </w:rPr>
        <w:t>,</w:t>
      </w:r>
      <w:r w:rsidRPr="005A0610">
        <w:rPr>
          <w:rFonts w:eastAsia="Times New Roman"/>
          <w:iCs/>
          <w:lang w:val="en-GB"/>
        </w:rPr>
        <w:t xml:space="preserve"> </w:t>
      </w:r>
      <w:r w:rsidRPr="005A7E1E">
        <w:rPr>
          <w:rFonts w:eastAsia="Times New Roman"/>
          <w:lang w:val="en-GB"/>
        </w:rPr>
        <w:t xml:space="preserve">hereinafter </w:t>
      </w:r>
      <w:r w:rsidR="009B5575" w:rsidRPr="005A7E1E">
        <w:rPr>
          <w:rFonts w:eastAsia="Times New Roman"/>
          <w:lang w:val="en-GB"/>
        </w:rPr>
        <w:t xml:space="preserve">called </w:t>
      </w:r>
      <w:r w:rsidR="009B5575">
        <w:rPr>
          <w:rFonts w:eastAsia="Times New Roman"/>
          <w:lang w:val="en-GB"/>
        </w:rPr>
        <w:t>“</w:t>
      </w:r>
      <w:r w:rsidRPr="005A7E1E">
        <w:rPr>
          <w:rFonts w:eastAsia="Times New Roman"/>
          <w:lang w:val="en-GB"/>
        </w:rPr>
        <w:t>GDPR supervision of judicial processing of personal data</w:t>
      </w:r>
      <w:r w:rsidR="009B5575">
        <w:rPr>
          <w:rFonts w:eastAsia="Times New Roman"/>
          <w:lang w:val="en-GB"/>
        </w:rPr>
        <w:t>”</w:t>
      </w:r>
      <w:r w:rsidRPr="005A7E1E">
        <w:rPr>
          <w:rFonts w:eastAsia="Times New Roman"/>
          <w:lang w:val="en-GB"/>
        </w:rPr>
        <w:t>.</w:t>
      </w:r>
      <w:r w:rsidR="005A7E1E">
        <w:rPr>
          <w:rFonts w:eastAsia="Times New Roman"/>
          <w:lang w:val="en-GB"/>
        </w:rPr>
        <w:br/>
      </w:r>
    </w:p>
    <w:p w14:paraId="55F21AAB" w14:textId="58EEB93F" w:rsidR="00C12AA0" w:rsidRPr="002766B4" w:rsidRDefault="00C12AA0" w:rsidP="002766B4">
      <w:pPr>
        <w:pStyle w:val="ListParagraph"/>
        <w:numPr>
          <w:ilvl w:val="0"/>
          <w:numId w:val="2"/>
        </w:numPr>
        <w:spacing w:after="240"/>
        <w:rPr>
          <w:lang w:val="en-GB"/>
        </w:rPr>
      </w:pPr>
      <w:r w:rsidRPr="002766B4">
        <w:rPr>
          <w:lang w:val="en-GB"/>
        </w:rPr>
        <w:t>So far, one judgment of the CJEU exists with regard to this role (</w:t>
      </w:r>
      <w:hyperlink r:id="rId9" w:history="1">
        <w:r w:rsidRPr="002766B4">
          <w:rPr>
            <w:rStyle w:val="Hyperlink"/>
            <w:lang w:val="en-GB"/>
          </w:rPr>
          <w:t>ECLI:EU:C:2022:216</w:t>
        </w:r>
      </w:hyperlink>
      <w:r w:rsidRPr="002766B4">
        <w:rPr>
          <w:lang w:val="en-GB"/>
        </w:rPr>
        <w:t>).  The Advisory Opinion of Advocate General Bobek (</w:t>
      </w:r>
      <w:hyperlink r:id="rId10" w:history="1">
        <w:r w:rsidRPr="002766B4">
          <w:rPr>
            <w:rStyle w:val="Hyperlink"/>
            <w:lang w:val="en-GB"/>
          </w:rPr>
          <w:t>ECLI:EU:C:2021:822</w:t>
        </w:r>
      </w:hyperlink>
      <w:r w:rsidRPr="002766B4">
        <w:rPr>
          <w:lang w:val="en-GB"/>
        </w:rPr>
        <w:t xml:space="preserve">) mentions a </w:t>
      </w:r>
      <w:hyperlink r:id="rId11" w:history="1">
        <w:r w:rsidRPr="002766B4">
          <w:rPr>
            <w:rStyle w:val="Hyperlink"/>
            <w:lang w:val="en-GB"/>
          </w:rPr>
          <w:t xml:space="preserve">Research </w:t>
        </w:r>
        <w:r w:rsidR="00402592">
          <w:rPr>
            <w:rStyle w:val="Hyperlink"/>
            <w:lang w:val="en-GB"/>
          </w:rPr>
          <w:t>N</w:t>
        </w:r>
        <w:r w:rsidRPr="002766B4">
          <w:rPr>
            <w:rStyle w:val="Hyperlink"/>
            <w:lang w:val="en-GB"/>
          </w:rPr>
          <w:t>ote</w:t>
        </w:r>
      </w:hyperlink>
      <w:r w:rsidRPr="002766B4">
        <w:rPr>
          <w:lang w:val="en-GB"/>
        </w:rPr>
        <w:t xml:space="preserve"> from July 2018 on the </w:t>
      </w:r>
      <w:r w:rsidR="009B5575">
        <w:rPr>
          <w:lang w:val="en-GB"/>
        </w:rPr>
        <w:t>“</w:t>
      </w:r>
      <w:r w:rsidRPr="002766B4">
        <w:rPr>
          <w:lang w:val="en-GB"/>
        </w:rPr>
        <w:t>Supervision of courts’ compliance with personal data protection rules when acting in their judicial capacity</w:t>
      </w:r>
      <w:r w:rsidR="009B5575">
        <w:rPr>
          <w:lang w:val="en-GB"/>
        </w:rPr>
        <w:t>”</w:t>
      </w:r>
      <w:r w:rsidRPr="002766B4">
        <w:rPr>
          <w:lang w:val="en-GB"/>
        </w:rPr>
        <w:t xml:space="preserve">. This Research </w:t>
      </w:r>
      <w:r w:rsidR="00402592">
        <w:rPr>
          <w:lang w:val="en-GB"/>
        </w:rPr>
        <w:t>N</w:t>
      </w:r>
      <w:r w:rsidRPr="002766B4">
        <w:rPr>
          <w:lang w:val="en-GB"/>
        </w:rPr>
        <w:t>ote conclude</w:t>
      </w:r>
      <w:r w:rsidR="00775D9B">
        <w:rPr>
          <w:lang w:val="en-GB"/>
        </w:rPr>
        <w:t>d</w:t>
      </w:r>
      <w:r w:rsidRPr="002766B4">
        <w:rPr>
          <w:lang w:val="en-GB"/>
        </w:rPr>
        <w:t>, among other</w:t>
      </w:r>
      <w:r w:rsidR="00775D9B">
        <w:rPr>
          <w:lang w:val="en-GB"/>
        </w:rPr>
        <w:t xml:space="preserve"> thing</w:t>
      </w:r>
      <w:r w:rsidRPr="002766B4">
        <w:rPr>
          <w:lang w:val="en-GB"/>
        </w:rPr>
        <w:t xml:space="preserve">s, that it appeared that the vast majority of the Member States had satisfied the requirement to exclude </w:t>
      </w:r>
      <w:r w:rsidR="002B4F10">
        <w:rPr>
          <w:lang w:val="en-GB"/>
        </w:rPr>
        <w:t xml:space="preserve">from </w:t>
      </w:r>
      <w:r w:rsidRPr="002766B4">
        <w:rPr>
          <w:lang w:val="en-GB"/>
        </w:rPr>
        <w:t>the competence of the national supervisory authority personal data processing carried out by the courts acting in their judicial capacity, but that the establishment of specific supervisory mechanism</w:t>
      </w:r>
      <w:r w:rsidR="00775D9B">
        <w:rPr>
          <w:lang w:val="en-GB"/>
        </w:rPr>
        <w:t>s</w:t>
      </w:r>
      <w:r w:rsidRPr="002766B4">
        <w:rPr>
          <w:lang w:val="en-GB"/>
        </w:rPr>
        <w:t xml:space="preserve"> was</w:t>
      </w:r>
      <w:r w:rsidR="00C20401">
        <w:rPr>
          <w:lang w:val="en-GB"/>
        </w:rPr>
        <w:t>,</w:t>
      </w:r>
      <w:r w:rsidRPr="002766B4">
        <w:rPr>
          <w:lang w:val="en-GB"/>
        </w:rPr>
        <w:t xml:space="preserve"> </w:t>
      </w:r>
      <w:r w:rsidR="00382E3B">
        <w:rPr>
          <w:lang w:val="en-GB"/>
        </w:rPr>
        <w:t xml:space="preserve">in </w:t>
      </w:r>
      <w:r w:rsidRPr="002766B4">
        <w:rPr>
          <w:lang w:val="en-GB"/>
        </w:rPr>
        <w:t>part</w:t>
      </w:r>
      <w:r w:rsidR="00C20401">
        <w:rPr>
          <w:lang w:val="en-GB"/>
        </w:rPr>
        <w:t>,</w:t>
      </w:r>
      <w:r w:rsidRPr="002766B4">
        <w:rPr>
          <w:lang w:val="en-GB"/>
        </w:rPr>
        <w:t xml:space="preserve"> work in progress. </w:t>
      </w:r>
    </w:p>
    <w:p w14:paraId="0B10FC9E" w14:textId="77777777" w:rsidR="002766B4" w:rsidRDefault="002766B4" w:rsidP="002766B4">
      <w:pPr>
        <w:pStyle w:val="ListParagraph"/>
        <w:spacing w:after="240"/>
        <w:rPr>
          <w:lang w:val="en-GB"/>
        </w:rPr>
      </w:pPr>
    </w:p>
    <w:p w14:paraId="4F74B423" w14:textId="08289F98" w:rsidR="00C12AA0" w:rsidRPr="00C12AA0" w:rsidRDefault="00C12AA0" w:rsidP="00C12AA0">
      <w:pPr>
        <w:pStyle w:val="ListParagraph"/>
        <w:numPr>
          <w:ilvl w:val="0"/>
          <w:numId w:val="2"/>
        </w:numPr>
        <w:spacing w:after="240"/>
        <w:rPr>
          <w:lang w:val="en-GB"/>
        </w:rPr>
      </w:pPr>
      <w:r w:rsidRPr="00C12AA0">
        <w:rPr>
          <w:lang w:val="en-GB"/>
        </w:rPr>
        <w:t xml:space="preserve">The Network is a suitable place for sharing further developments </w:t>
      </w:r>
      <w:r w:rsidR="00C20401">
        <w:rPr>
          <w:lang w:val="en-GB"/>
        </w:rPr>
        <w:t>i</w:t>
      </w:r>
      <w:r w:rsidRPr="00C12AA0">
        <w:rPr>
          <w:lang w:val="en-GB"/>
        </w:rPr>
        <w:t>n th</w:t>
      </w:r>
      <w:r w:rsidR="00C20401">
        <w:rPr>
          <w:lang w:val="en-GB"/>
        </w:rPr>
        <w:t>eir</w:t>
      </w:r>
      <w:r w:rsidRPr="00C12AA0">
        <w:rPr>
          <w:lang w:val="en-GB"/>
        </w:rPr>
        <w:t xml:space="preserve"> establishment and for disseminating knowledge and best practices within national judiciaries on this supervisory role. A dialogue between the Court of Justice and the Network </w:t>
      </w:r>
      <w:r w:rsidR="004E4CC3">
        <w:rPr>
          <w:lang w:val="en-GB"/>
        </w:rPr>
        <w:t xml:space="preserve">may </w:t>
      </w:r>
      <w:r w:rsidRPr="00C12AA0">
        <w:rPr>
          <w:lang w:val="en-GB"/>
        </w:rPr>
        <w:t xml:space="preserve">contribute to clarifying what is expected under </w:t>
      </w:r>
      <w:r w:rsidR="00C20401">
        <w:rPr>
          <w:lang w:val="en-GB"/>
        </w:rPr>
        <w:t xml:space="preserve">Recital </w:t>
      </w:r>
      <w:r w:rsidRPr="00C12AA0">
        <w:rPr>
          <w:lang w:val="en-GB"/>
        </w:rPr>
        <w:t xml:space="preserve">20 and Article 55 </w:t>
      </w:r>
      <w:r w:rsidR="00D742BB">
        <w:rPr>
          <w:lang w:val="en-GB"/>
        </w:rPr>
        <w:t>(</w:t>
      </w:r>
      <w:r w:rsidRPr="00C12AA0">
        <w:rPr>
          <w:lang w:val="en-GB"/>
        </w:rPr>
        <w:t>3</w:t>
      </w:r>
      <w:r w:rsidR="00D742BB">
        <w:rPr>
          <w:lang w:val="en-GB"/>
        </w:rPr>
        <w:t>)</w:t>
      </w:r>
      <w:r w:rsidRPr="00C12AA0">
        <w:rPr>
          <w:lang w:val="en-GB"/>
        </w:rPr>
        <w:t xml:space="preserve"> GDPR. </w:t>
      </w:r>
      <w:r w:rsidR="004E4CC3">
        <w:rPr>
          <w:lang w:val="en-GB"/>
        </w:rPr>
        <w:t>T</w:t>
      </w:r>
      <w:r w:rsidR="00734DCA">
        <w:rPr>
          <w:lang w:val="en-GB"/>
        </w:rPr>
        <w:t>he upcoming Joint Meeting of the Network with the CJEU on 28 March 2025 in Luxembourg</w:t>
      </w:r>
      <w:r w:rsidR="004E4CC3">
        <w:rPr>
          <w:lang w:val="en-GB"/>
        </w:rPr>
        <w:t xml:space="preserve"> offers an opportunity to explore relevant issues and to share experiences and best practices.</w:t>
      </w:r>
    </w:p>
    <w:p w14:paraId="1BF8BFB2" w14:textId="77777777" w:rsidR="002766B4" w:rsidRDefault="002766B4" w:rsidP="002766B4">
      <w:pPr>
        <w:pStyle w:val="ListParagraph"/>
        <w:jc w:val="both"/>
        <w:rPr>
          <w:lang w:val="en-GB"/>
        </w:rPr>
      </w:pPr>
    </w:p>
    <w:p w14:paraId="402728FF" w14:textId="02C8AE1B" w:rsidR="00377C07" w:rsidRDefault="00377C07" w:rsidP="00C12AA0">
      <w:pPr>
        <w:pStyle w:val="ListParagraph"/>
        <w:numPr>
          <w:ilvl w:val="0"/>
          <w:numId w:val="2"/>
        </w:numPr>
        <w:jc w:val="both"/>
        <w:rPr>
          <w:lang w:val="en-GB"/>
        </w:rPr>
      </w:pPr>
      <w:r>
        <w:rPr>
          <w:lang w:val="en-GB"/>
        </w:rPr>
        <w:t>T</w:t>
      </w:r>
      <w:r w:rsidR="00734DCA">
        <w:rPr>
          <w:lang w:val="en-GB"/>
        </w:rPr>
        <w:t>h</w:t>
      </w:r>
      <w:r>
        <w:rPr>
          <w:lang w:val="en-GB"/>
        </w:rPr>
        <w:t xml:space="preserve">is </w:t>
      </w:r>
      <w:r w:rsidR="00C12AA0" w:rsidRPr="00C12AA0">
        <w:rPr>
          <w:lang w:val="en-GB"/>
        </w:rPr>
        <w:t xml:space="preserve">questionnaire </w:t>
      </w:r>
      <w:r w:rsidR="00734DCA">
        <w:rPr>
          <w:lang w:val="en-GB"/>
        </w:rPr>
        <w:t xml:space="preserve">intends to </w:t>
      </w:r>
      <w:r w:rsidR="00786788">
        <w:rPr>
          <w:lang w:val="en-GB"/>
        </w:rPr>
        <w:t xml:space="preserve">gather information </w:t>
      </w:r>
      <w:r>
        <w:rPr>
          <w:lang w:val="en-GB"/>
        </w:rPr>
        <w:t>p</w:t>
      </w:r>
      <w:r w:rsidRPr="00C12AA0">
        <w:rPr>
          <w:lang w:val="en-GB"/>
        </w:rPr>
        <w:t xml:space="preserve">rior to the </w:t>
      </w:r>
      <w:r>
        <w:rPr>
          <w:lang w:val="en-GB"/>
        </w:rPr>
        <w:t>Joint Meeting</w:t>
      </w:r>
      <w:r w:rsidRPr="00C12AA0">
        <w:rPr>
          <w:lang w:val="en-GB"/>
        </w:rPr>
        <w:t xml:space="preserve">, </w:t>
      </w:r>
      <w:r>
        <w:rPr>
          <w:lang w:val="en-GB"/>
        </w:rPr>
        <w:t xml:space="preserve">in order to prepare </w:t>
      </w:r>
      <w:r w:rsidR="00734DCA">
        <w:rPr>
          <w:lang w:val="en-GB"/>
        </w:rPr>
        <w:t xml:space="preserve">a report which </w:t>
      </w:r>
      <w:r w:rsidR="003F01DE">
        <w:rPr>
          <w:lang w:val="en-GB"/>
        </w:rPr>
        <w:t xml:space="preserve">will </w:t>
      </w:r>
      <w:r w:rsidR="006B0A26">
        <w:rPr>
          <w:lang w:val="en-GB"/>
        </w:rPr>
        <w:t xml:space="preserve">give </w:t>
      </w:r>
      <w:r w:rsidR="003F01DE">
        <w:rPr>
          <w:lang w:val="en-GB"/>
        </w:rPr>
        <w:t xml:space="preserve">more </w:t>
      </w:r>
      <w:r w:rsidR="006B0A26">
        <w:rPr>
          <w:lang w:val="en-GB"/>
        </w:rPr>
        <w:t xml:space="preserve">visibility </w:t>
      </w:r>
      <w:r w:rsidR="003F01DE">
        <w:rPr>
          <w:lang w:val="en-GB"/>
        </w:rPr>
        <w:t xml:space="preserve">on </w:t>
      </w:r>
      <w:r w:rsidR="00734DCA">
        <w:rPr>
          <w:lang w:val="en-GB"/>
        </w:rPr>
        <w:t xml:space="preserve">the current practice of GDPR supervision of judicial processing of personal data within the Member States and the </w:t>
      </w:r>
      <w:r w:rsidR="00B01D62">
        <w:rPr>
          <w:lang w:val="en-GB"/>
        </w:rPr>
        <w:t>European</w:t>
      </w:r>
      <w:r w:rsidR="00734DCA">
        <w:rPr>
          <w:lang w:val="en-GB"/>
        </w:rPr>
        <w:t xml:space="preserve"> Union</w:t>
      </w:r>
      <w:r>
        <w:rPr>
          <w:lang w:val="en-GB"/>
        </w:rPr>
        <w:t xml:space="preserve">. </w:t>
      </w:r>
      <w:r w:rsidR="00ED3F5B">
        <w:rPr>
          <w:lang w:val="en-GB"/>
        </w:rPr>
        <w:t>The</w:t>
      </w:r>
      <w:r w:rsidR="00F11921">
        <w:rPr>
          <w:lang w:val="en-GB"/>
        </w:rPr>
        <w:t xml:space="preserve"> intention </w:t>
      </w:r>
      <w:r w:rsidR="00ED3F5B">
        <w:rPr>
          <w:lang w:val="en-GB"/>
        </w:rPr>
        <w:t xml:space="preserve">is to try to update the information in the </w:t>
      </w:r>
      <w:r w:rsidR="003F01DE">
        <w:rPr>
          <w:lang w:val="en-GB"/>
        </w:rPr>
        <w:t>above</w:t>
      </w:r>
      <w:r w:rsidR="00ED3F5B">
        <w:rPr>
          <w:lang w:val="en-GB"/>
        </w:rPr>
        <w:t xml:space="preserve">mentioned </w:t>
      </w:r>
      <w:hyperlink r:id="rId12" w:history="1">
        <w:r w:rsidR="00ED3F5B" w:rsidRPr="002766B4">
          <w:rPr>
            <w:rStyle w:val="Hyperlink"/>
            <w:lang w:val="en-GB"/>
          </w:rPr>
          <w:t>Research</w:t>
        </w:r>
        <w:r w:rsidR="008A0578">
          <w:rPr>
            <w:rStyle w:val="Hyperlink"/>
            <w:lang w:val="en-GB"/>
          </w:rPr>
          <w:t xml:space="preserve"> </w:t>
        </w:r>
        <w:r w:rsidR="00402592">
          <w:rPr>
            <w:rStyle w:val="Hyperlink"/>
            <w:lang w:val="en-GB"/>
          </w:rPr>
          <w:t>N</w:t>
        </w:r>
        <w:r w:rsidR="00ED3F5B" w:rsidRPr="002766B4">
          <w:rPr>
            <w:rStyle w:val="Hyperlink"/>
            <w:lang w:val="en-GB"/>
          </w:rPr>
          <w:t>ote</w:t>
        </w:r>
      </w:hyperlink>
      <w:r w:rsidR="00ED3F5B" w:rsidRPr="002766B4">
        <w:rPr>
          <w:lang w:val="en-GB"/>
        </w:rPr>
        <w:t xml:space="preserve"> from July 2018 on the </w:t>
      </w:r>
      <w:r w:rsidR="00800B0F">
        <w:rPr>
          <w:lang w:val="en-GB"/>
        </w:rPr>
        <w:t>“</w:t>
      </w:r>
      <w:r w:rsidR="00ED3F5B" w:rsidRPr="002766B4">
        <w:rPr>
          <w:lang w:val="en-GB"/>
        </w:rPr>
        <w:t>Supervision of courts’ compliance with personal data protection rules when acting in their judicial capacity</w:t>
      </w:r>
      <w:r w:rsidR="00800B0F">
        <w:rPr>
          <w:lang w:val="en-GB"/>
        </w:rPr>
        <w:t>”</w:t>
      </w:r>
      <w:r w:rsidR="00ED3F5B" w:rsidRPr="002766B4">
        <w:rPr>
          <w:lang w:val="en-GB"/>
        </w:rPr>
        <w:t>.</w:t>
      </w:r>
      <w:r w:rsidR="00ED3F5B">
        <w:rPr>
          <w:lang w:val="en-GB"/>
        </w:rPr>
        <w:t xml:space="preserve"> Furthermore, the questionnaire aims to collect information on legal practice concerning GDPR supervision of judicial processing of personal data within the Member States and the European Union. </w:t>
      </w:r>
      <w:r w:rsidR="004E4CC3">
        <w:rPr>
          <w:lang w:val="en-GB"/>
        </w:rPr>
        <w:t>Finally,</w:t>
      </w:r>
      <w:r w:rsidR="00ED3F5B">
        <w:rPr>
          <w:lang w:val="en-GB"/>
        </w:rPr>
        <w:t xml:space="preserve"> </w:t>
      </w:r>
      <w:r w:rsidR="004E4CC3">
        <w:rPr>
          <w:lang w:val="en-GB"/>
        </w:rPr>
        <w:t xml:space="preserve">it intends to explore </w:t>
      </w:r>
      <w:r w:rsidR="00ED3F5B">
        <w:rPr>
          <w:lang w:val="en-GB"/>
        </w:rPr>
        <w:t>whether there is a</w:t>
      </w:r>
      <w:r w:rsidR="000B0E3E">
        <w:rPr>
          <w:lang w:val="en-GB"/>
        </w:rPr>
        <w:t>ny</w:t>
      </w:r>
      <w:r w:rsidR="00ED3F5B">
        <w:rPr>
          <w:lang w:val="en-GB"/>
        </w:rPr>
        <w:t xml:space="preserve"> relationship between this type of supervision and the role of non-judicial</w:t>
      </w:r>
      <w:r w:rsidR="00F11921">
        <w:rPr>
          <w:lang w:val="en-GB"/>
        </w:rPr>
        <w:t xml:space="preserve"> supervisory</w:t>
      </w:r>
      <w:r w:rsidR="00ED3F5B">
        <w:rPr>
          <w:lang w:val="en-GB"/>
        </w:rPr>
        <w:t xml:space="preserve"> authorities regarding judicial processing of personal data.</w:t>
      </w:r>
      <w:r w:rsidR="00ED3F5B">
        <w:rPr>
          <w:lang w:val="en-GB"/>
        </w:rPr>
        <w:tab/>
      </w:r>
    </w:p>
    <w:p w14:paraId="2E108BFD" w14:textId="77777777" w:rsidR="00377C07" w:rsidRPr="009256C0" w:rsidRDefault="00377C07" w:rsidP="002766B4">
      <w:pPr>
        <w:pStyle w:val="ListParagraph"/>
        <w:jc w:val="both"/>
        <w:rPr>
          <w:color w:val="2F5496" w:themeColor="accent1" w:themeShade="BF"/>
          <w:lang w:val="en-GB"/>
        </w:rPr>
      </w:pPr>
    </w:p>
    <w:p w14:paraId="3373923B" w14:textId="564E433B" w:rsidR="00374FCA" w:rsidRPr="009256C0" w:rsidRDefault="007E7892" w:rsidP="00072820">
      <w:pPr>
        <w:jc w:val="both"/>
        <w:rPr>
          <w:b/>
          <w:i/>
          <w:iCs/>
          <w:color w:val="4472C4" w:themeColor="accent1"/>
          <w:lang w:val="en-GB"/>
        </w:rPr>
      </w:pPr>
      <w:r w:rsidRPr="009256C0">
        <w:rPr>
          <w:b/>
          <w:i/>
          <w:iCs/>
          <w:color w:val="4472C4" w:themeColor="accent1"/>
          <w:lang w:val="en-GB"/>
        </w:rPr>
        <w:t xml:space="preserve">B. </w:t>
      </w:r>
      <w:r w:rsidR="00374FCA" w:rsidRPr="009256C0">
        <w:rPr>
          <w:b/>
          <w:i/>
          <w:iCs/>
          <w:color w:val="4472C4" w:themeColor="accent1"/>
          <w:lang w:val="en-GB"/>
        </w:rPr>
        <w:t>Questions</w:t>
      </w:r>
    </w:p>
    <w:p w14:paraId="73BDC250" w14:textId="77777777" w:rsidR="00D86929" w:rsidRPr="009256C0" w:rsidRDefault="00D86929" w:rsidP="00072820">
      <w:pPr>
        <w:jc w:val="both"/>
        <w:rPr>
          <w:i/>
          <w:iCs/>
          <w:color w:val="4472C4" w:themeColor="accent1"/>
          <w:lang w:val="en-GB"/>
        </w:rPr>
      </w:pPr>
    </w:p>
    <w:p w14:paraId="6AA07272" w14:textId="3D98B52E" w:rsidR="00F679AD" w:rsidRPr="009256C0" w:rsidRDefault="00875869" w:rsidP="00072820">
      <w:pPr>
        <w:jc w:val="both"/>
        <w:rPr>
          <w:iCs/>
          <w:color w:val="4472C4" w:themeColor="accent1"/>
          <w:lang w:val="en-GB"/>
        </w:rPr>
      </w:pPr>
      <w:r w:rsidRPr="009256C0">
        <w:rPr>
          <w:iCs/>
          <w:color w:val="4472C4" w:themeColor="accent1"/>
          <w:lang w:val="en-GB"/>
        </w:rPr>
        <w:t xml:space="preserve">1. </w:t>
      </w:r>
      <w:r w:rsidR="00911409" w:rsidRPr="009256C0">
        <w:rPr>
          <w:iCs/>
          <w:color w:val="4472C4" w:themeColor="accent1"/>
          <w:lang w:val="en-GB"/>
        </w:rPr>
        <w:t>Established</w:t>
      </w:r>
      <w:r w:rsidR="00F679AD" w:rsidRPr="009256C0">
        <w:rPr>
          <w:iCs/>
          <w:color w:val="4472C4" w:themeColor="accent1"/>
          <w:lang w:val="en-GB"/>
        </w:rPr>
        <w:t xml:space="preserve"> supervisory mechanisms</w:t>
      </w:r>
      <w:r w:rsidR="001267EA" w:rsidRPr="009256C0">
        <w:rPr>
          <w:iCs/>
          <w:color w:val="4472C4" w:themeColor="accent1"/>
          <w:lang w:val="en-GB"/>
        </w:rPr>
        <w:t>:</w:t>
      </w:r>
    </w:p>
    <w:p w14:paraId="46A6F8A5" w14:textId="462868BA" w:rsidR="00F11921" w:rsidRPr="009256C0" w:rsidRDefault="00F11921" w:rsidP="00072820">
      <w:pPr>
        <w:jc w:val="both"/>
        <w:rPr>
          <w:iCs/>
          <w:color w:val="4472C4" w:themeColor="accent1"/>
          <w:lang w:val="en-GB"/>
        </w:rPr>
      </w:pPr>
      <w:r w:rsidRPr="009256C0">
        <w:rPr>
          <w:iCs/>
          <w:color w:val="4472C4" w:themeColor="accent1"/>
          <w:lang w:val="en-GB"/>
        </w:rPr>
        <w:t xml:space="preserve">Please consider whether information regarding your country is included </w:t>
      </w:r>
      <w:r w:rsidRPr="009256C0">
        <w:rPr>
          <w:color w:val="4472C4" w:themeColor="accent1"/>
          <w:lang w:val="en-GB"/>
        </w:rPr>
        <w:t xml:space="preserve">in the </w:t>
      </w:r>
      <w:hyperlink r:id="rId13" w:history="1">
        <w:r w:rsidRPr="009256C0">
          <w:rPr>
            <w:rStyle w:val="Hyperlink"/>
            <w:color w:val="4472C4" w:themeColor="accent1"/>
            <w:lang w:val="en-GB"/>
          </w:rPr>
          <w:t xml:space="preserve">Research </w:t>
        </w:r>
        <w:r w:rsidR="00402592">
          <w:rPr>
            <w:rStyle w:val="Hyperlink"/>
            <w:color w:val="4472C4" w:themeColor="accent1"/>
            <w:lang w:val="en-GB"/>
          </w:rPr>
          <w:t>N</w:t>
        </w:r>
        <w:r w:rsidRPr="009256C0">
          <w:rPr>
            <w:rStyle w:val="Hyperlink"/>
            <w:color w:val="4472C4" w:themeColor="accent1"/>
            <w:lang w:val="en-GB"/>
          </w:rPr>
          <w:t>ote</w:t>
        </w:r>
      </w:hyperlink>
      <w:r w:rsidRPr="009256C0">
        <w:rPr>
          <w:color w:val="4472C4" w:themeColor="accent1"/>
          <w:lang w:val="en-GB"/>
        </w:rPr>
        <w:t xml:space="preserve"> from July 2018 on the </w:t>
      </w:r>
      <w:r w:rsidR="00921DEB">
        <w:rPr>
          <w:color w:val="4472C4" w:themeColor="accent1"/>
          <w:lang w:val="en-GB"/>
        </w:rPr>
        <w:t>“</w:t>
      </w:r>
      <w:r w:rsidRPr="009256C0">
        <w:rPr>
          <w:color w:val="4472C4" w:themeColor="accent1"/>
          <w:lang w:val="en-GB"/>
        </w:rPr>
        <w:t>Supervision of courts’ compliance with personal data protection rules when acting in their judicial capacity</w:t>
      </w:r>
      <w:r w:rsidR="00921DEB">
        <w:rPr>
          <w:color w:val="4472C4" w:themeColor="accent1"/>
          <w:lang w:val="en-GB"/>
        </w:rPr>
        <w:t>”</w:t>
      </w:r>
      <w:r w:rsidRPr="009256C0">
        <w:rPr>
          <w:iCs/>
          <w:color w:val="4472C4" w:themeColor="accent1"/>
          <w:lang w:val="en-GB"/>
        </w:rPr>
        <w:t xml:space="preserve">. </w:t>
      </w:r>
      <w:r w:rsidR="00E20A22" w:rsidRPr="009256C0">
        <w:rPr>
          <w:iCs/>
          <w:color w:val="4472C4" w:themeColor="accent1"/>
          <w:lang w:val="en-GB"/>
        </w:rPr>
        <w:t>If yes, please answer question 1.a. If no, please answer question 1.b.</w:t>
      </w:r>
    </w:p>
    <w:p w14:paraId="18A6C5DC" w14:textId="77777777" w:rsidR="00F11921" w:rsidRPr="009256C0" w:rsidRDefault="00F11921" w:rsidP="00F11921">
      <w:pPr>
        <w:spacing w:after="240"/>
        <w:rPr>
          <w:iCs/>
          <w:color w:val="4472C4" w:themeColor="accent1"/>
          <w:lang w:val="en-GB"/>
        </w:rPr>
      </w:pPr>
    </w:p>
    <w:p w14:paraId="5E343829" w14:textId="172D8778" w:rsidR="00F11921" w:rsidRPr="009256C0" w:rsidRDefault="00F11921" w:rsidP="00F11921">
      <w:pPr>
        <w:spacing w:after="240"/>
        <w:rPr>
          <w:color w:val="4472C4" w:themeColor="accent1"/>
          <w:lang w:val="en-GB"/>
        </w:rPr>
      </w:pPr>
      <w:r w:rsidRPr="009256C0">
        <w:rPr>
          <w:iCs/>
          <w:color w:val="4472C4" w:themeColor="accent1"/>
          <w:lang w:val="en-GB"/>
        </w:rPr>
        <w:lastRenderedPageBreak/>
        <w:t xml:space="preserve">a. If yes, please indicate whether this information </w:t>
      </w:r>
      <w:r w:rsidR="001267EA" w:rsidRPr="009256C0">
        <w:rPr>
          <w:iCs/>
          <w:color w:val="4472C4" w:themeColor="accent1"/>
          <w:lang w:val="en-GB"/>
        </w:rPr>
        <w:t>still reflects the supervisory mechanisms</w:t>
      </w:r>
      <w:r w:rsidR="00E20A22" w:rsidRPr="009256C0">
        <w:rPr>
          <w:iCs/>
          <w:color w:val="4472C4" w:themeColor="accent1"/>
          <w:lang w:val="en-GB"/>
        </w:rPr>
        <w:t xml:space="preserve"> </w:t>
      </w:r>
      <w:r w:rsidR="006E575B">
        <w:rPr>
          <w:iCs/>
          <w:color w:val="4472C4" w:themeColor="accent1"/>
          <w:lang w:val="en-GB"/>
        </w:rPr>
        <w:t xml:space="preserve">currently </w:t>
      </w:r>
      <w:r w:rsidR="003A4404">
        <w:rPr>
          <w:iCs/>
          <w:color w:val="4472C4" w:themeColor="accent1"/>
          <w:lang w:val="en-GB"/>
        </w:rPr>
        <w:t xml:space="preserve">in place </w:t>
      </w:r>
      <w:r w:rsidR="00E20A22" w:rsidRPr="009256C0">
        <w:rPr>
          <w:iCs/>
          <w:color w:val="4472C4" w:themeColor="accent1"/>
          <w:lang w:val="en-GB"/>
        </w:rPr>
        <w:t>in your country</w:t>
      </w:r>
      <w:r w:rsidR="00924ADB" w:rsidRPr="009256C0">
        <w:rPr>
          <w:iCs/>
          <w:color w:val="4472C4" w:themeColor="accent1"/>
          <w:lang w:val="en-GB"/>
        </w:rPr>
        <w:t xml:space="preserve">; please </w:t>
      </w:r>
      <w:r w:rsidRPr="009256C0">
        <w:rPr>
          <w:iCs/>
          <w:color w:val="4472C4" w:themeColor="accent1"/>
          <w:lang w:val="en-GB"/>
        </w:rPr>
        <w:t>provide an update o</w:t>
      </w:r>
      <w:r w:rsidR="004011D5">
        <w:rPr>
          <w:iCs/>
          <w:color w:val="4472C4" w:themeColor="accent1"/>
          <w:lang w:val="en-GB"/>
        </w:rPr>
        <w:t>n</w:t>
      </w:r>
      <w:r w:rsidRPr="009256C0">
        <w:rPr>
          <w:iCs/>
          <w:color w:val="4472C4" w:themeColor="accent1"/>
          <w:lang w:val="en-GB"/>
        </w:rPr>
        <w:t xml:space="preserve"> </w:t>
      </w:r>
      <w:r w:rsidR="004011D5">
        <w:rPr>
          <w:iCs/>
          <w:color w:val="4472C4" w:themeColor="accent1"/>
          <w:lang w:val="en-GB"/>
        </w:rPr>
        <w:t xml:space="preserve">any </w:t>
      </w:r>
      <w:r w:rsidRPr="009256C0">
        <w:rPr>
          <w:iCs/>
          <w:color w:val="4472C4" w:themeColor="accent1"/>
          <w:lang w:val="en-GB"/>
        </w:rPr>
        <w:t>developments since July 2018 in the establishment</w:t>
      </w:r>
      <w:r w:rsidR="00924ADB" w:rsidRPr="009256C0">
        <w:rPr>
          <w:iCs/>
          <w:color w:val="4472C4" w:themeColor="accent1"/>
          <w:lang w:val="en-GB"/>
        </w:rPr>
        <w:t xml:space="preserve"> </w:t>
      </w:r>
      <w:r w:rsidRPr="009256C0">
        <w:rPr>
          <w:color w:val="4472C4" w:themeColor="accent1"/>
          <w:lang w:val="en-GB"/>
        </w:rPr>
        <w:t>of specific supervisory mechanism</w:t>
      </w:r>
      <w:r w:rsidR="004011D5">
        <w:rPr>
          <w:color w:val="4472C4" w:themeColor="accent1"/>
          <w:lang w:val="en-GB"/>
        </w:rPr>
        <w:t>s</w:t>
      </w:r>
      <w:r w:rsidRPr="009256C0">
        <w:rPr>
          <w:color w:val="4472C4" w:themeColor="accent1"/>
          <w:lang w:val="en-GB"/>
        </w:rPr>
        <w:t xml:space="preserve"> </w:t>
      </w:r>
      <w:r w:rsidR="00924ADB" w:rsidRPr="009256C0">
        <w:rPr>
          <w:color w:val="4472C4" w:themeColor="accent1"/>
          <w:lang w:val="en-GB"/>
        </w:rPr>
        <w:t xml:space="preserve">in your country </w:t>
      </w:r>
      <w:r w:rsidR="006E575B">
        <w:rPr>
          <w:color w:val="4472C4" w:themeColor="accent1"/>
          <w:lang w:val="en-GB"/>
        </w:rPr>
        <w:t xml:space="preserve">for </w:t>
      </w:r>
      <w:r w:rsidR="00924ADB" w:rsidRPr="009256C0">
        <w:rPr>
          <w:color w:val="4472C4" w:themeColor="accent1"/>
          <w:lang w:val="en-GB"/>
        </w:rPr>
        <w:t>the supervision of courts’ compliance with personal data protection rules when acting in their judicial capacity</w:t>
      </w:r>
      <w:r w:rsidRPr="009256C0">
        <w:rPr>
          <w:color w:val="4472C4" w:themeColor="accent1"/>
          <w:lang w:val="en-GB"/>
        </w:rPr>
        <w:t>.</w:t>
      </w:r>
    </w:p>
    <w:p w14:paraId="64430036" w14:textId="18158730" w:rsidR="00924ADB" w:rsidRPr="009256C0" w:rsidRDefault="00924ADB" w:rsidP="00924ADB">
      <w:pPr>
        <w:spacing w:after="240"/>
        <w:rPr>
          <w:color w:val="4472C4" w:themeColor="accent1"/>
          <w:lang w:val="en-GB"/>
        </w:rPr>
      </w:pPr>
      <w:r w:rsidRPr="009256C0">
        <w:rPr>
          <w:iCs/>
          <w:color w:val="4472C4" w:themeColor="accent1"/>
          <w:lang w:val="en-GB"/>
        </w:rPr>
        <w:t xml:space="preserve">b. If no, which </w:t>
      </w:r>
      <w:r w:rsidRPr="009256C0">
        <w:rPr>
          <w:color w:val="4472C4" w:themeColor="accent1"/>
          <w:lang w:val="en-GB"/>
        </w:rPr>
        <w:t>specific supervisory mechanism</w:t>
      </w:r>
      <w:r w:rsidR="001267EA" w:rsidRPr="009256C0">
        <w:rPr>
          <w:color w:val="4472C4" w:themeColor="accent1"/>
          <w:lang w:val="en-GB"/>
        </w:rPr>
        <w:t>s</w:t>
      </w:r>
      <w:r w:rsidRPr="009256C0">
        <w:rPr>
          <w:color w:val="4472C4" w:themeColor="accent1"/>
          <w:lang w:val="en-GB"/>
        </w:rPr>
        <w:t xml:space="preserve"> exist in your country </w:t>
      </w:r>
      <w:r w:rsidR="006E575B">
        <w:rPr>
          <w:color w:val="4472C4" w:themeColor="accent1"/>
          <w:lang w:val="en-GB"/>
        </w:rPr>
        <w:t xml:space="preserve">for </w:t>
      </w:r>
      <w:r w:rsidRPr="009256C0">
        <w:rPr>
          <w:color w:val="4472C4" w:themeColor="accent1"/>
          <w:lang w:val="en-GB"/>
        </w:rPr>
        <w:t>the supervision of courts’ compliance with personal data protection rules when acting in their judicial capacity?</w:t>
      </w:r>
    </w:p>
    <w:p w14:paraId="156A7B31" w14:textId="7C26B0B1" w:rsidR="00911409" w:rsidRPr="009256C0" w:rsidRDefault="00924ADB" w:rsidP="00072820">
      <w:pPr>
        <w:jc w:val="both"/>
        <w:rPr>
          <w:iCs/>
          <w:color w:val="4472C4" w:themeColor="accent1"/>
          <w:lang w:val="en-GB"/>
        </w:rPr>
      </w:pPr>
      <w:r w:rsidRPr="009256C0">
        <w:rPr>
          <w:iCs/>
          <w:color w:val="4472C4" w:themeColor="accent1"/>
          <w:lang w:val="en-GB"/>
        </w:rPr>
        <w:t xml:space="preserve">2. </w:t>
      </w:r>
      <w:r w:rsidR="00F679AD" w:rsidRPr="009256C0">
        <w:rPr>
          <w:iCs/>
          <w:color w:val="4472C4" w:themeColor="accent1"/>
          <w:lang w:val="en-GB"/>
        </w:rPr>
        <w:t>Functioning of supervis</w:t>
      </w:r>
      <w:r w:rsidR="00911409" w:rsidRPr="009256C0">
        <w:rPr>
          <w:iCs/>
          <w:color w:val="4472C4" w:themeColor="accent1"/>
          <w:lang w:val="en-GB"/>
        </w:rPr>
        <w:t>ion</w:t>
      </w:r>
      <w:r w:rsidR="006E575B">
        <w:rPr>
          <w:iCs/>
          <w:color w:val="4472C4" w:themeColor="accent1"/>
          <w:lang w:val="en-GB"/>
        </w:rPr>
        <w:t>:</w:t>
      </w:r>
    </w:p>
    <w:p w14:paraId="4AC3ED42" w14:textId="3FB7BBA3" w:rsidR="00E20A22" w:rsidRPr="009256C0" w:rsidRDefault="00043195" w:rsidP="00072820">
      <w:pPr>
        <w:jc w:val="both"/>
        <w:rPr>
          <w:iCs/>
          <w:color w:val="4472C4" w:themeColor="accent1"/>
          <w:lang w:val="en-GB"/>
        </w:rPr>
      </w:pPr>
      <w:r w:rsidRPr="009256C0">
        <w:rPr>
          <w:iCs/>
          <w:color w:val="4472C4" w:themeColor="accent1"/>
          <w:lang w:val="en-GB"/>
        </w:rPr>
        <w:t xml:space="preserve">a. </w:t>
      </w:r>
      <w:r w:rsidR="00924ADB" w:rsidRPr="009256C0">
        <w:rPr>
          <w:iCs/>
          <w:color w:val="4472C4" w:themeColor="accent1"/>
          <w:lang w:val="en-GB"/>
        </w:rPr>
        <w:t xml:space="preserve">Can you provide examples </w:t>
      </w:r>
      <w:r w:rsidR="00911409" w:rsidRPr="009256C0">
        <w:rPr>
          <w:iCs/>
          <w:color w:val="4472C4" w:themeColor="accent1"/>
          <w:lang w:val="en-GB"/>
        </w:rPr>
        <w:t xml:space="preserve">or any other information on </w:t>
      </w:r>
      <w:r w:rsidR="00924ADB" w:rsidRPr="009256C0">
        <w:rPr>
          <w:iCs/>
          <w:color w:val="4472C4" w:themeColor="accent1"/>
          <w:lang w:val="en-GB"/>
        </w:rPr>
        <w:t xml:space="preserve">the functioning </w:t>
      </w:r>
      <w:r w:rsidR="00911409" w:rsidRPr="009256C0">
        <w:rPr>
          <w:iCs/>
          <w:color w:val="4472C4" w:themeColor="accent1"/>
          <w:lang w:val="en-GB"/>
        </w:rPr>
        <w:t xml:space="preserve">within your country </w:t>
      </w:r>
      <w:r w:rsidR="00924ADB" w:rsidRPr="009256C0">
        <w:rPr>
          <w:iCs/>
          <w:color w:val="4472C4" w:themeColor="accent1"/>
          <w:lang w:val="en-GB"/>
        </w:rPr>
        <w:t xml:space="preserve">of </w:t>
      </w:r>
      <w:r w:rsidR="00911409" w:rsidRPr="009256C0">
        <w:rPr>
          <w:iCs/>
          <w:color w:val="4472C4" w:themeColor="accent1"/>
          <w:lang w:val="en-GB"/>
        </w:rPr>
        <w:t xml:space="preserve">the </w:t>
      </w:r>
      <w:r w:rsidR="00911409" w:rsidRPr="009256C0">
        <w:rPr>
          <w:color w:val="4472C4" w:themeColor="accent1"/>
          <w:lang w:val="en-GB"/>
        </w:rPr>
        <w:t>supervision of courts’ compliance with personal data protection rules when acting in their judicial capacity</w:t>
      </w:r>
      <w:r w:rsidR="00924ADB" w:rsidRPr="009256C0">
        <w:rPr>
          <w:iCs/>
          <w:color w:val="4472C4" w:themeColor="accent1"/>
          <w:lang w:val="en-GB"/>
        </w:rPr>
        <w:t xml:space="preserve">? </w:t>
      </w:r>
      <w:r w:rsidR="00911409" w:rsidRPr="009256C0">
        <w:rPr>
          <w:iCs/>
          <w:color w:val="4472C4" w:themeColor="accent1"/>
          <w:lang w:val="en-GB"/>
        </w:rPr>
        <w:t>For instance</w:t>
      </w:r>
      <w:r w:rsidR="00E20A22" w:rsidRPr="009256C0">
        <w:rPr>
          <w:iCs/>
          <w:color w:val="4472C4" w:themeColor="accent1"/>
          <w:lang w:val="en-GB"/>
        </w:rPr>
        <w:t xml:space="preserve">: </w:t>
      </w:r>
    </w:p>
    <w:p w14:paraId="3E5D8067" w14:textId="0D979B77" w:rsidR="00E20A22" w:rsidRPr="009256C0" w:rsidRDefault="00E20A22" w:rsidP="00043195">
      <w:pPr>
        <w:pStyle w:val="ListParagraph"/>
        <w:numPr>
          <w:ilvl w:val="0"/>
          <w:numId w:val="4"/>
        </w:numPr>
        <w:jc w:val="both"/>
        <w:rPr>
          <w:iCs/>
          <w:color w:val="4472C4" w:themeColor="accent1"/>
          <w:lang w:val="en-GB"/>
        </w:rPr>
      </w:pPr>
      <w:r w:rsidRPr="009256C0">
        <w:rPr>
          <w:iCs/>
          <w:color w:val="4472C4" w:themeColor="accent1"/>
          <w:lang w:val="en-GB"/>
        </w:rPr>
        <w:t xml:space="preserve">examples of court decisions or judgments concerning that supervision, </w:t>
      </w:r>
    </w:p>
    <w:p w14:paraId="2381D8A7" w14:textId="77C2D3B8" w:rsidR="00E20A22"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 xml:space="preserve">information included in annual reports concerning that supervision, </w:t>
      </w:r>
    </w:p>
    <w:p w14:paraId="0841399A" w14:textId="0BF0EA69" w:rsidR="00EA59AD" w:rsidRPr="009256C0" w:rsidRDefault="00EA59AD" w:rsidP="00EA59AD">
      <w:pPr>
        <w:pStyle w:val="ListParagraph"/>
        <w:numPr>
          <w:ilvl w:val="0"/>
          <w:numId w:val="4"/>
        </w:numPr>
        <w:jc w:val="both"/>
        <w:rPr>
          <w:iCs/>
          <w:color w:val="4472C4" w:themeColor="accent1"/>
          <w:lang w:val="en-GB"/>
        </w:rPr>
      </w:pPr>
      <w:r w:rsidRPr="009256C0">
        <w:rPr>
          <w:iCs/>
          <w:color w:val="4472C4" w:themeColor="accent1"/>
          <w:lang w:val="en-GB"/>
        </w:rPr>
        <w:t>examples o</w:t>
      </w:r>
      <w:r w:rsidR="007110E8">
        <w:rPr>
          <w:iCs/>
          <w:color w:val="4472C4" w:themeColor="accent1"/>
          <w:lang w:val="en-GB"/>
        </w:rPr>
        <w:t>n</w:t>
      </w:r>
      <w:r w:rsidRPr="009256C0">
        <w:rPr>
          <w:iCs/>
          <w:color w:val="4472C4" w:themeColor="accent1"/>
          <w:lang w:val="en-GB"/>
        </w:rPr>
        <w:t xml:space="preserve"> the handling of complaints regarding court</w:t>
      </w:r>
      <w:r w:rsidR="00C4751D">
        <w:rPr>
          <w:iCs/>
          <w:color w:val="4472C4" w:themeColor="accent1"/>
          <w:lang w:val="en-GB"/>
        </w:rPr>
        <w:t>s</w:t>
      </w:r>
      <w:r w:rsidRPr="009256C0">
        <w:rPr>
          <w:iCs/>
          <w:color w:val="4472C4" w:themeColor="accent1"/>
          <w:lang w:val="en-GB"/>
        </w:rPr>
        <w:t xml:space="preserve">’ compliance with personal data protection rules when acting in </w:t>
      </w:r>
      <w:r w:rsidR="00C4751D">
        <w:rPr>
          <w:iCs/>
          <w:color w:val="4472C4" w:themeColor="accent1"/>
          <w:lang w:val="en-GB"/>
        </w:rPr>
        <w:t>their</w:t>
      </w:r>
      <w:r w:rsidR="0024571E">
        <w:rPr>
          <w:iCs/>
          <w:color w:val="4472C4" w:themeColor="accent1"/>
          <w:lang w:val="en-GB"/>
        </w:rPr>
        <w:t xml:space="preserve"> </w:t>
      </w:r>
      <w:r w:rsidRPr="009256C0">
        <w:rPr>
          <w:iCs/>
          <w:color w:val="4472C4" w:themeColor="accent1"/>
          <w:lang w:val="en-GB"/>
        </w:rPr>
        <w:t xml:space="preserve">judicial capacity, </w:t>
      </w:r>
    </w:p>
    <w:p w14:paraId="5429346C" w14:textId="77777777" w:rsidR="00EA59AD"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examples of activities</w:t>
      </w:r>
      <w:r w:rsidR="00EA59AD" w:rsidRPr="009256C0">
        <w:rPr>
          <w:iCs/>
          <w:color w:val="4472C4" w:themeColor="accent1"/>
          <w:lang w:val="en-GB"/>
        </w:rPr>
        <w:t xml:space="preserve"> of established supervisory authorities</w:t>
      </w:r>
      <w:r w:rsidRPr="009256C0">
        <w:rPr>
          <w:iCs/>
          <w:color w:val="4472C4" w:themeColor="accent1"/>
          <w:lang w:val="en-GB"/>
        </w:rPr>
        <w:t xml:space="preserve"> dealing with anonymization or pseudonymization </w:t>
      </w:r>
      <w:r w:rsidR="00EA59AD" w:rsidRPr="009256C0">
        <w:rPr>
          <w:iCs/>
          <w:color w:val="4472C4" w:themeColor="accent1"/>
          <w:lang w:val="en-GB"/>
        </w:rPr>
        <w:t xml:space="preserve">of a court decision or judgment, </w:t>
      </w:r>
    </w:p>
    <w:p w14:paraId="667FC099" w14:textId="09C48B85" w:rsidR="00875869"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 xml:space="preserve">etc. </w:t>
      </w:r>
    </w:p>
    <w:p w14:paraId="0871D470" w14:textId="77777777" w:rsidR="007E7892" w:rsidRPr="009256C0" w:rsidRDefault="007E7892" w:rsidP="00072820">
      <w:pPr>
        <w:jc w:val="both"/>
        <w:rPr>
          <w:color w:val="4472C4" w:themeColor="accent1"/>
          <w:lang w:val="en-GB"/>
        </w:rPr>
      </w:pPr>
    </w:p>
    <w:p w14:paraId="5CD0D18F" w14:textId="3D3DE98F" w:rsidR="007E7892" w:rsidRPr="009256C0" w:rsidRDefault="00043195" w:rsidP="00043195">
      <w:pPr>
        <w:jc w:val="both"/>
        <w:rPr>
          <w:iCs/>
          <w:color w:val="4472C4" w:themeColor="accent1"/>
          <w:lang w:val="en-GB"/>
        </w:rPr>
      </w:pPr>
      <w:r w:rsidRPr="009256C0">
        <w:rPr>
          <w:iCs/>
          <w:color w:val="4472C4" w:themeColor="accent1"/>
          <w:lang w:val="en-GB"/>
        </w:rPr>
        <w:t>b</w:t>
      </w:r>
      <w:r w:rsidR="00875869" w:rsidRPr="009256C0">
        <w:rPr>
          <w:iCs/>
          <w:color w:val="4472C4" w:themeColor="accent1"/>
          <w:lang w:val="en-GB"/>
        </w:rPr>
        <w:t>.</w:t>
      </w:r>
      <w:r w:rsidRPr="009256C0">
        <w:rPr>
          <w:iCs/>
          <w:color w:val="4472C4" w:themeColor="accent1"/>
          <w:lang w:val="en-GB"/>
        </w:rPr>
        <w:t xml:space="preserve"> Does a</w:t>
      </w:r>
      <w:r w:rsidR="003C695D" w:rsidRPr="009256C0">
        <w:rPr>
          <w:color w:val="4472C4" w:themeColor="accent1"/>
          <w:lang w:val="en-GB"/>
        </w:rPr>
        <w:t xml:space="preserve"> non-judicial </w:t>
      </w:r>
      <w:r w:rsidR="002766B4" w:rsidRPr="009256C0">
        <w:rPr>
          <w:color w:val="4472C4" w:themeColor="accent1"/>
          <w:lang w:val="en-GB"/>
        </w:rPr>
        <w:t xml:space="preserve">national </w:t>
      </w:r>
      <w:r w:rsidRPr="009256C0">
        <w:rPr>
          <w:color w:val="4472C4" w:themeColor="accent1"/>
          <w:lang w:val="en-GB"/>
        </w:rPr>
        <w:t xml:space="preserve">GDPR </w:t>
      </w:r>
      <w:r w:rsidR="002766B4" w:rsidRPr="009256C0">
        <w:rPr>
          <w:color w:val="4472C4" w:themeColor="accent1"/>
          <w:lang w:val="en-GB"/>
        </w:rPr>
        <w:t>supervisory authority</w:t>
      </w:r>
      <w:r w:rsidRPr="009256C0">
        <w:rPr>
          <w:color w:val="4472C4" w:themeColor="accent1"/>
          <w:lang w:val="en-GB"/>
        </w:rPr>
        <w:t xml:space="preserve"> undertake</w:t>
      </w:r>
      <w:r w:rsidR="0050374C" w:rsidRPr="009256C0">
        <w:rPr>
          <w:color w:val="4472C4" w:themeColor="accent1"/>
          <w:lang w:val="en-GB"/>
        </w:rPr>
        <w:t xml:space="preserve"> </w:t>
      </w:r>
      <w:r w:rsidR="00C97D3E">
        <w:rPr>
          <w:color w:val="4472C4" w:themeColor="accent1"/>
          <w:lang w:val="en-GB"/>
        </w:rPr>
        <w:t xml:space="preserve">activities of </w:t>
      </w:r>
      <w:r w:rsidR="0050374C" w:rsidRPr="009256C0">
        <w:rPr>
          <w:color w:val="4472C4" w:themeColor="accent1"/>
          <w:lang w:val="en-GB"/>
        </w:rPr>
        <w:t>supervision</w:t>
      </w:r>
      <w:r w:rsidRPr="009256C0">
        <w:rPr>
          <w:color w:val="4472C4" w:themeColor="accent1"/>
          <w:lang w:val="en-GB"/>
        </w:rPr>
        <w:t xml:space="preserve"> </w:t>
      </w:r>
      <w:r w:rsidR="0024571E">
        <w:rPr>
          <w:color w:val="4472C4" w:themeColor="accent1"/>
          <w:lang w:val="en-GB"/>
        </w:rPr>
        <w:t xml:space="preserve">of </w:t>
      </w:r>
      <w:r w:rsidRPr="009256C0">
        <w:rPr>
          <w:color w:val="4472C4" w:themeColor="accent1"/>
          <w:lang w:val="en-GB"/>
        </w:rPr>
        <w:t>courts’ compliance with personal data protection rules when acting in their judicial capacity</w:t>
      </w:r>
      <w:r w:rsidRPr="009256C0">
        <w:rPr>
          <w:iCs/>
          <w:color w:val="4472C4" w:themeColor="accent1"/>
          <w:lang w:val="en-GB"/>
        </w:rPr>
        <w:t xml:space="preserve">? </w:t>
      </w:r>
      <w:r w:rsidR="0050374C" w:rsidRPr="009256C0">
        <w:rPr>
          <w:iCs/>
          <w:color w:val="4472C4" w:themeColor="accent1"/>
          <w:lang w:val="en-GB"/>
        </w:rPr>
        <w:t>If yes, what kind of activities?</w:t>
      </w:r>
    </w:p>
    <w:p w14:paraId="74B676A8" w14:textId="45EB27BC" w:rsidR="00043195" w:rsidRDefault="00043195" w:rsidP="00072820">
      <w:pPr>
        <w:jc w:val="both"/>
        <w:rPr>
          <w:lang w:val="en-GB"/>
        </w:rPr>
      </w:pPr>
    </w:p>
    <w:p w14:paraId="7B4A561F" w14:textId="34FAC210" w:rsidR="009256C0" w:rsidRPr="009256C0" w:rsidRDefault="009256C0" w:rsidP="009256C0">
      <w:pPr>
        <w:rPr>
          <w:b/>
          <w:i/>
          <w:iCs/>
          <w:lang w:val="en-GB"/>
        </w:rPr>
      </w:pPr>
      <w:r>
        <w:rPr>
          <w:b/>
          <w:i/>
          <w:iCs/>
          <w:lang w:val="en-GB"/>
        </w:rPr>
        <w:t xml:space="preserve">C. </w:t>
      </w:r>
      <w:r w:rsidR="00A70EAE">
        <w:rPr>
          <w:b/>
          <w:i/>
          <w:iCs/>
          <w:lang w:val="en-GB"/>
        </w:rPr>
        <w:t>Re</w:t>
      </w:r>
      <w:r w:rsidR="00F25C5A">
        <w:rPr>
          <w:b/>
          <w:i/>
          <w:iCs/>
          <w:lang w:val="en-GB"/>
        </w:rPr>
        <w:t>spond</w:t>
      </w:r>
      <w:r w:rsidR="00A70EAE">
        <w:rPr>
          <w:b/>
          <w:i/>
          <w:iCs/>
          <w:lang w:val="en-GB"/>
        </w:rPr>
        <w:t xml:space="preserve">ing to the questionnaire </w:t>
      </w:r>
    </w:p>
    <w:p w14:paraId="6AB69174" w14:textId="77777777" w:rsidR="009256C0" w:rsidRDefault="009256C0" w:rsidP="00072820">
      <w:pPr>
        <w:jc w:val="both"/>
        <w:rPr>
          <w:lang w:val="en-GB"/>
        </w:rPr>
      </w:pPr>
    </w:p>
    <w:p w14:paraId="696022E6" w14:textId="3BBA7E5D" w:rsidR="009256C0" w:rsidRDefault="004011D5" w:rsidP="00072820">
      <w:pPr>
        <w:jc w:val="both"/>
        <w:rPr>
          <w:lang w:val="en-GB"/>
        </w:rPr>
      </w:pPr>
      <w:r>
        <w:rPr>
          <w:lang w:val="en-GB"/>
        </w:rPr>
        <w:t xml:space="preserve">Please </w:t>
      </w:r>
      <w:r w:rsidR="009256C0">
        <w:rPr>
          <w:lang w:val="en-GB"/>
        </w:rPr>
        <w:t>send your re</w:t>
      </w:r>
      <w:r w:rsidR="00F25C5A">
        <w:rPr>
          <w:lang w:val="en-GB"/>
        </w:rPr>
        <w:t>spons</w:t>
      </w:r>
      <w:r w:rsidR="009256C0">
        <w:rPr>
          <w:lang w:val="en-GB"/>
        </w:rPr>
        <w:t>es to the Secretariat of the Network before 1</w:t>
      </w:r>
      <w:r w:rsidR="004842A9">
        <w:rPr>
          <w:lang w:val="en-GB"/>
        </w:rPr>
        <w:t>8</w:t>
      </w:r>
      <w:r w:rsidR="009256C0">
        <w:rPr>
          <w:lang w:val="en-GB"/>
        </w:rPr>
        <w:t xml:space="preserve"> December 2024.</w:t>
      </w:r>
    </w:p>
    <w:p w14:paraId="03387097" w14:textId="77777777" w:rsidR="009256C0" w:rsidRDefault="009256C0" w:rsidP="00072820">
      <w:pPr>
        <w:jc w:val="both"/>
        <w:rPr>
          <w:lang w:val="en-GB"/>
        </w:rPr>
      </w:pPr>
    </w:p>
    <w:p w14:paraId="5B03D1B9" w14:textId="77777777" w:rsidR="009256C0" w:rsidRDefault="009256C0" w:rsidP="00072820">
      <w:pPr>
        <w:jc w:val="both"/>
        <w:rPr>
          <w:lang w:val="en-GB"/>
        </w:rPr>
      </w:pPr>
    </w:p>
    <w:p w14:paraId="33B3EEFB" w14:textId="795F6071" w:rsidR="009256C0" w:rsidRPr="00610E0B" w:rsidRDefault="009256C0" w:rsidP="00072820">
      <w:pPr>
        <w:jc w:val="both"/>
        <w:rPr>
          <w:lang w:val="en-GB"/>
        </w:rPr>
      </w:pPr>
      <w:r>
        <w:rPr>
          <w:lang w:val="en-GB"/>
        </w:rPr>
        <w:t>The Hague, 25 October 2024</w:t>
      </w:r>
    </w:p>
    <w:p w14:paraId="69F73482" w14:textId="7A84C668" w:rsidR="009256C0" w:rsidRDefault="009256C0" w:rsidP="009256C0">
      <w:pPr>
        <w:jc w:val="both"/>
        <w:rPr>
          <w:lang w:val="en-GB"/>
        </w:rPr>
      </w:pPr>
      <w:r>
        <w:rPr>
          <w:lang w:val="en-GB"/>
        </w:rPr>
        <w:t xml:space="preserve">Dineke de Groot, </w:t>
      </w:r>
      <w:r w:rsidR="00A70EAE">
        <w:rPr>
          <w:lang w:val="en-GB"/>
        </w:rPr>
        <w:t>P</w:t>
      </w:r>
      <w:r>
        <w:rPr>
          <w:lang w:val="en-GB"/>
        </w:rPr>
        <w:t>resident</w:t>
      </w:r>
      <w:r w:rsidR="00A70EAE">
        <w:rPr>
          <w:lang w:val="en-GB"/>
        </w:rPr>
        <w:t>,</w:t>
      </w:r>
      <w:r>
        <w:rPr>
          <w:lang w:val="en-GB"/>
        </w:rPr>
        <w:t xml:space="preserve"> Supreme Court of the Netherlands</w:t>
      </w:r>
    </w:p>
    <w:p w14:paraId="3A424C65" w14:textId="77777777" w:rsidR="00D86929" w:rsidRDefault="00D86929" w:rsidP="00072820">
      <w:pPr>
        <w:jc w:val="both"/>
        <w:rPr>
          <w:b/>
          <w:i/>
          <w:iCs/>
          <w:lang w:val="en-GB"/>
        </w:rPr>
      </w:pPr>
    </w:p>
    <w:p w14:paraId="7ABDB77C" w14:textId="77777777" w:rsidR="00FC7FDF" w:rsidRPr="003C695D" w:rsidRDefault="00FC7FDF" w:rsidP="00072820">
      <w:pPr>
        <w:jc w:val="both"/>
        <w:rPr>
          <w:lang w:val="en-US"/>
        </w:rPr>
      </w:pPr>
    </w:p>
    <w:sectPr w:rsidR="00FC7FDF" w:rsidRPr="003C695D" w:rsidSect="00BF3376">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3153A" w14:textId="77777777" w:rsidR="006B59CF" w:rsidRDefault="006B59CF" w:rsidP="00374FCA">
      <w:r>
        <w:separator/>
      </w:r>
    </w:p>
  </w:endnote>
  <w:endnote w:type="continuationSeparator" w:id="0">
    <w:p w14:paraId="687D0844" w14:textId="77777777" w:rsidR="006B59CF" w:rsidRDefault="006B59CF" w:rsidP="003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795419"/>
      <w:docPartObj>
        <w:docPartGallery w:val="Page Numbers (Bottom of Page)"/>
        <w:docPartUnique/>
      </w:docPartObj>
    </w:sdtPr>
    <w:sdtEndPr>
      <w:rPr>
        <w:rStyle w:val="PageNumber"/>
      </w:rPr>
    </w:sdtEndPr>
    <w:sdtContent>
      <w:p w14:paraId="2569780F"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FA599" w14:textId="77777777" w:rsidR="00374FCA" w:rsidRDefault="00374FCA" w:rsidP="00374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321324"/>
      <w:docPartObj>
        <w:docPartGallery w:val="Page Numbers (Bottom of Page)"/>
        <w:docPartUnique/>
      </w:docPartObj>
    </w:sdtPr>
    <w:sdtEndPr>
      <w:rPr>
        <w:rStyle w:val="PageNumber"/>
      </w:rPr>
    </w:sdtEndPr>
    <w:sdtContent>
      <w:p w14:paraId="6077DB08"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AA27C" w14:textId="77777777" w:rsidR="00374FCA" w:rsidRDefault="00374FCA" w:rsidP="00374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EDF1" w14:textId="77777777" w:rsidR="006B59CF" w:rsidRDefault="006B59CF" w:rsidP="00374FCA">
      <w:r>
        <w:separator/>
      </w:r>
    </w:p>
  </w:footnote>
  <w:footnote w:type="continuationSeparator" w:id="0">
    <w:p w14:paraId="71505662" w14:textId="77777777" w:rsidR="006B59CF" w:rsidRDefault="006B59CF" w:rsidP="0037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0CE"/>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81931"/>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3476B1A"/>
    <w:multiLevelType w:val="hybridMultilevel"/>
    <w:tmpl w:val="186676AC"/>
    <w:lvl w:ilvl="0" w:tplc="402669F8">
      <w:start w:val="1"/>
      <w:numFmt w:val="low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E32C44"/>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84107497">
    <w:abstractNumId w:val="0"/>
  </w:num>
  <w:num w:numId="2" w16cid:durableId="2032760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544699">
    <w:abstractNumId w:val="4"/>
  </w:num>
  <w:num w:numId="4" w16cid:durableId="724985871">
    <w:abstractNumId w:val="3"/>
  </w:num>
  <w:num w:numId="5" w16cid:durableId="103279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F"/>
    <w:rsid w:val="00001CEF"/>
    <w:rsid w:val="00014870"/>
    <w:rsid w:val="00015066"/>
    <w:rsid w:val="00023943"/>
    <w:rsid w:val="00027481"/>
    <w:rsid w:val="000276D0"/>
    <w:rsid w:val="000334DD"/>
    <w:rsid w:val="00037C12"/>
    <w:rsid w:val="00043195"/>
    <w:rsid w:val="000652C8"/>
    <w:rsid w:val="00071397"/>
    <w:rsid w:val="00072820"/>
    <w:rsid w:val="00092567"/>
    <w:rsid w:val="00095C3E"/>
    <w:rsid w:val="00096022"/>
    <w:rsid w:val="000A10F1"/>
    <w:rsid w:val="000B0E3E"/>
    <w:rsid w:val="000B740C"/>
    <w:rsid w:val="000C189D"/>
    <w:rsid w:val="000D7593"/>
    <w:rsid w:val="000E188C"/>
    <w:rsid w:val="000E6BDF"/>
    <w:rsid w:val="000E7CAF"/>
    <w:rsid w:val="00103323"/>
    <w:rsid w:val="001267EA"/>
    <w:rsid w:val="0013086B"/>
    <w:rsid w:val="00143117"/>
    <w:rsid w:val="00157C4E"/>
    <w:rsid w:val="00171348"/>
    <w:rsid w:val="00175C62"/>
    <w:rsid w:val="001817D1"/>
    <w:rsid w:val="00184212"/>
    <w:rsid w:val="00186E7F"/>
    <w:rsid w:val="001A2992"/>
    <w:rsid w:val="001C56DB"/>
    <w:rsid w:val="001D612A"/>
    <w:rsid w:val="001D7A5A"/>
    <w:rsid w:val="001E5AFC"/>
    <w:rsid w:val="001F6D5C"/>
    <w:rsid w:val="00200D61"/>
    <w:rsid w:val="00210E48"/>
    <w:rsid w:val="00212C33"/>
    <w:rsid w:val="00216AFA"/>
    <w:rsid w:val="0021770E"/>
    <w:rsid w:val="00217AD2"/>
    <w:rsid w:val="00230AC9"/>
    <w:rsid w:val="00230F3C"/>
    <w:rsid w:val="0023220C"/>
    <w:rsid w:val="0024571E"/>
    <w:rsid w:val="00255461"/>
    <w:rsid w:val="00257324"/>
    <w:rsid w:val="002574F2"/>
    <w:rsid w:val="00261267"/>
    <w:rsid w:val="00272DF6"/>
    <w:rsid w:val="002766B4"/>
    <w:rsid w:val="00284D36"/>
    <w:rsid w:val="0028593B"/>
    <w:rsid w:val="0029150B"/>
    <w:rsid w:val="0029587A"/>
    <w:rsid w:val="002A293D"/>
    <w:rsid w:val="002A3B94"/>
    <w:rsid w:val="002B4701"/>
    <w:rsid w:val="002B4F10"/>
    <w:rsid w:val="002C2E4F"/>
    <w:rsid w:val="002C3A69"/>
    <w:rsid w:val="002C53E3"/>
    <w:rsid w:val="002D731D"/>
    <w:rsid w:val="002E453A"/>
    <w:rsid w:val="00301390"/>
    <w:rsid w:val="0030613B"/>
    <w:rsid w:val="003102AF"/>
    <w:rsid w:val="00321E66"/>
    <w:rsid w:val="003225AA"/>
    <w:rsid w:val="0033222B"/>
    <w:rsid w:val="0033660E"/>
    <w:rsid w:val="003430F0"/>
    <w:rsid w:val="0034593C"/>
    <w:rsid w:val="00374FCA"/>
    <w:rsid w:val="00377C07"/>
    <w:rsid w:val="00382E3B"/>
    <w:rsid w:val="003832B8"/>
    <w:rsid w:val="00385FD9"/>
    <w:rsid w:val="0039048A"/>
    <w:rsid w:val="00395C11"/>
    <w:rsid w:val="003A04F5"/>
    <w:rsid w:val="003A4404"/>
    <w:rsid w:val="003A7E82"/>
    <w:rsid w:val="003B2DCC"/>
    <w:rsid w:val="003C17CA"/>
    <w:rsid w:val="003C32F8"/>
    <w:rsid w:val="003C53FC"/>
    <w:rsid w:val="003C5C73"/>
    <w:rsid w:val="003C695D"/>
    <w:rsid w:val="003E71B5"/>
    <w:rsid w:val="003F01DE"/>
    <w:rsid w:val="003F0272"/>
    <w:rsid w:val="003F3215"/>
    <w:rsid w:val="004011D5"/>
    <w:rsid w:val="004016C4"/>
    <w:rsid w:val="00402592"/>
    <w:rsid w:val="0042484E"/>
    <w:rsid w:val="00431138"/>
    <w:rsid w:val="00434943"/>
    <w:rsid w:val="004351EF"/>
    <w:rsid w:val="00440497"/>
    <w:rsid w:val="00461FF8"/>
    <w:rsid w:val="004666AE"/>
    <w:rsid w:val="00470A61"/>
    <w:rsid w:val="004719FB"/>
    <w:rsid w:val="004842A9"/>
    <w:rsid w:val="004A059E"/>
    <w:rsid w:val="004C1642"/>
    <w:rsid w:val="004D2015"/>
    <w:rsid w:val="004D4995"/>
    <w:rsid w:val="004E4CC3"/>
    <w:rsid w:val="004F02C3"/>
    <w:rsid w:val="004F2111"/>
    <w:rsid w:val="005025A5"/>
    <w:rsid w:val="0050374C"/>
    <w:rsid w:val="00506D61"/>
    <w:rsid w:val="00511A02"/>
    <w:rsid w:val="00517CAF"/>
    <w:rsid w:val="0052088C"/>
    <w:rsid w:val="00521A33"/>
    <w:rsid w:val="00530705"/>
    <w:rsid w:val="00536393"/>
    <w:rsid w:val="005367B7"/>
    <w:rsid w:val="00544B3D"/>
    <w:rsid w:val="005511ED"/>
    <w:rsid w:val="00552DE2"/>
    <w:rsid w:val="00570BB5"/>
    <w:rsid w:val="00581D97"/>
    <w:rsid w:val="00590816"/>
    <w:rsid w:val="00597605"/>
    <w:rsid w:val="005A0610"/>
    <w:rsid w:val="005A7E1E"/>
    <w:rsid w:val="005B70F5"/>
    <w:rsid w:val="005C17C8"/>
    <w:rsid w:val="005C5965"/>
    <w:rsid w:val="005D092C"/>
    <w:rsid w:val="005D3528"/>
    <w:rsid w:val="005E3A84"/>
    <w:rsid w:val="005E62D9"/>
    <w:rsid w:val="005F15A5"/>
    <w:rsid w:val="00600571"/>
    <w:rsid w:val="00605DA1"/>
    <w:rsid w:val="00610E0B"/>
    <w:rsid w:val="00622AAF"/>
    <w:rsid w:val="00627107"/>
    <w:rsid w:val="0064345B"/>
    <w:rsid w:val="00643952"/>
    <w:rsid w:val="0068639D"/>
    <w:rsid w:val="00686E5A"/>
    <w:rsid w:val="00692C80"/>
    <w:rsid w:val="006B0A26"/>
    <w:rsid w:val="006B2B46"/>
    <w:rsid w:val="006B59CF"/>
    <w:rsid w:val="006C124C"/>
    <w:rsid w:val="006E575B"/>
    <w:rsid w:val="006F5114"/>
    <w:rsid w:val="00701C90"/>
    <w:rsid w:val="007110E8"/>
    <w:rsid w:val="00720EDF"/>
    <w:rsid w:val="00724B13"/>
    <w:rsid w:val="00725C57"/>
    <w:rsid w:val="007263A7"/>
    <w:rsid w:val="00733412"/>
    <w:rsid w:val="00734DCA"/>
    <w:rsid w:val="00734FD7"/>
    <w:rsid w:val="007446FE"/>
    <w:rsid w:val="00744EA9"/>
    <w:rsid w:val="00762199"/>
    <w:rsid w:val="007677EB"/>
    <w:rsid w:val="00772A23"/>
    <w:rsid w:val="00775D9B"/>
    <w:rsid w:val="00777C01"/>
    <w:rsid w:val="00786788"/>
    <w:rsid w:val="007B2633"/>
    <w:rsid w:val="007E7892"/>
    <w:rsid w:val="00800B0F"/>
    <w:rsid w:val="008075F6"/>
    <w:rsid w:val="00815EB0"/>
    <w:rsid w:val="00847974"/>
    <w:rsid w:val="0085189B"/>
    <w:rsid w:val="008674B3"/>
    <w:rsid w:val="00875869"/>
    <w:rsid w:val="008771C0"/>
    <w:rsid w:val="00891F58"/>
    <w:rsid w:val="008A0578"/>
    <w:rsid w:val="008B5136"/>
    <w:rsid w:val="008C7B23"/>
    <w:rsid w:val="008D15E5"/>
    <w:rsid w:val="008D4E42"/>
    <w:rsid w:val="008D7713"/>
    <w:rsid w:val="008E02EA"/>
    <w:rsid w:val="008E0726"/>
    <w:rsid w:val="008E1F77"/>
    <w:rsid w:val="008E6EDF"/>
    <w:rsid w:val="008F0479"/>
    <w:rsid w:val="008F2EBF"/>
    <w:rsid w:val="00901700"/>
    <w:rsid w:val="00911409"/>
    <w:rsid w:val="00916F3E"/>
    <w:rsid w:val="00921DEB"/>
    <w:rsid w:val="00924ADB"/>
    <w:rsid w:val="009256C0"/>
    <w:rsid w:val="00925EDB"/>
    <w:rsid w:val="0093722E"/>
    <w:rsid w:val="009412EB"/>
    <w:rsid w:val="00961C7F"/>
    <w:rsid w:val="00962B7C"/>
    <w:rsid w:val="009940B8"/>
    <w:rsid w:val="0099455D"/>
    <w:rsid w:val="009A512A"/>
    <w:rsid w:val="009B5575"/>
    <w:rsid w:val="009C3FFA"/>
    <w:rsid w:val="009D616A"/>
    <w:rsid w:val="009E24F7"/>
    <w:rsid w:val="009E5924"/>
    <w:rsid w:val="009E71C8"/>
    <w:rsid w:val="009E794A"/>
    <w:rsid w:val="009F43FE"/>
    <w:rsid w:val="009F7A68"/>
    <w:rsid w:val="00A20AED"/>
    <w:rsid w:val="00A2527A"/>
    <w:rsid w:val="00A424FD"/>
    <w:rsid w:val="00A44740"/>
    <w:rsid w:val="00A469A4"/>
    <w:rsid w:val="00A5050E"/>
    <w:rsid w:val="00A54431"/>
    <w:rsid w:val="00A5471B"/>
    <w:rsid w:val="00A612DE"/>
    <w:rsid w:val="00A643B0"/>
    <w:rsid w:val="00A64B4A"/>
    <w:rsid w:val="00A70EAE"/>
    <w:rsid w:val="00A7678F"/>
    <w:rsid w:val="00A77E71"/>
    <w:rsid w:val="00A80312"/>
    <w:rsid w:val="00A95536"/>
    <w:rsid w:val="00A962D6"/>
    <w:rsid w:val="00AA0D58"/>
    <w:rsid w:val="00AA0F4F"/>
    <w:rsid w:val="00AA7346"/>
    <w:rsid w:val="00AB1567"/>
    <w:rsid w:val="00AB38BC"/>
    <w:rsid w:val="00AB3C4F"/>
    <w:rsid w:val="00AB5F94"/>
    <w:rsid w:val="00AB7FAF"/>
    <w:rsid w:val="00AC12FC"/>
    <w:rsid w:val="00AD11C4"/>
    <w:rsid w:val="00AD4C5D"/>
    <w:rsid w:val="00AE0417"/>
    <w:rsid w:val="00AE060F"/>
    <w:rsid w:val="00AE3B16"/>
    <w:rsid w:val="00AE6D9B"/>
    <w:rsid w:val="00AF643C"/>
    <w:rsid w:val="00AF6761"/>
    <w:rsid w:val="00B01D62"/>
    <w:rsid w:val="00B11BF9"/>
    <w:rsid w:val="00B25EE9"/>
    <w:rsid w:val="00B32A85"/>
    <w:rsid w:val="00B32E32"/>
    <w:rsid w:val="00B54685"/>
    <w:rsid w:val="00B6153D"/>
    <w:rsid w:val="00B70A3E"/>
    <w:rsid w:val="00B923E4"/>
    <w:rsid w:val="00B92831"/>
    <w:rsid w:val="00B93812"/>
    <w:rsid w:val="00BB1873"/>
    <w:rsid w:val="00BB33AF"/>
    <w:rsid w:val="00BB69B8"/>
    <w:rsid w:val="00BF3376"/>
    <w:rsid w:val="00C05D62"/>
    <w:rsid w:val="00C12AA0"/>
    <w:rsid w:val="00C20401"/>
    <w:rsid w:val="00C22E75"/>
    <w:rsid w:val="00C3390A"/>
    <w:rsid w:val="00C4751D"/>
    <w:rsid w:val="00C47AE3"/>
    <w:rsid w:val="00C56AE2"/>
    <w:rsid w:val="00C62332"/>
    <w:rsid w:val="00C6394D"/>
    <w:rsid w:val="00C639A8"/>
    <w:rsid w:val="00C72DE0"/>
    <w:rsid w:val="00C81A8E"/>
    <w:rsid w:val="00C84DF3"/>
    <w:rsid w:val="00C90684"/>
    <w:rsid w:val="00C9474A"/>
    <w:rsid w:val="00C95D64"/>
    <w:rsid w:val="00C97D3E"/>
    <w:rsid w:val="00CA4023"/>
    <w:rsid w:val="00CC40E3"/>
    <w:rsid w:val="00CD3CAF"/>
    <w:rsid w:val="00CE0688"/>
    <w:rsid w:val="00CE4AB8"/>
    <w:rsid w:val="00CE6D3E"/>
    <w:rsid w:val="00CE754A"/>
    <w:rsid w:val="00CF654E"/>
    <w:rsid w:val="00CF754F"/>
    <w:rsid w:val="00CF7B06"/>
    <w:rsid w:val="00D00B63"/>
    <w:rsid w:val="00D01240"/>
    <w:rsid w:val="00D12ABD"/>
    <w:rsid w:val="00D14A33"/>
    <w:rsid w:val="00D26B04"/>
    <w:rsid w:val="00D30B29"/>
    <w:rsid w:val="00D40B03"/>
    <w:rsid w:val="00D443E9"/>
    <w:rsid w:val="00D603BA"/>
    <w:rsid w:val="00D70786"/>
    <w:rsid w:val="00D73A05"/>
    <w:rsid w:val="00D742BB"/>
    <w:rsid w:val="00D76829"/>
    <w:rsid w:val="00D829E9"/>
    <w:rsid w:val="00D86929"/>
    <w:rsid w:val="00DB4ADA"/>
    <w:rsid w:val="00DC1A76"/>
    <w:rsid w:val="00DC57C9"/>
    <w:rsid w:val="00DE0FB4"/>
    <w:rsid w:val="00DE1D1A"/>
    <w:rsid w:val="00DE1FAC"/>
    <w:rsid w:val="00DE73D6"/>
    <w:rsid w:val="00E20A22"/>
    <w:rsid w:val="00E24A9E"/>
    <w:rsid w:val="00E35406"/>
    <w:rsid w:val="00E42640"/>
    <w:rsid w:val="00E47D67"/>
    <w:rsid w:val="00E50C2F"/>
    <w:rsid w:val="00E5543E"/>
    <w:rsid w:val="00E57354"/>
    <w:rsid w:val="00E71767"/>
    <w:rsid w:val="00E84DF2"/>
    <w:rsid w:val="00E96C4B"/>
    <w:rsid w:val="00E96D46"/>
    <w:rsid w:val="00EA12D6"/>
    <w:rsid w:val="00EA59AD"/>
    <w:rsid w:val="00EB30A6"/>
    <w:rsid w:val="00EC6DF7"/>
    <w:rsid w:val="00EC735C"/>
    <w:rsid w:val="00ED3F5B"/>
    <w:rsid w:val="00EE4C9A"/>
    <w:rsid w:val="00EF10EF"/>
    <w:rsid w:val="00EF7957"/>
    <w:rsid w:val="00F019AE"/>
    <w:rsid w:val="00F11921"/>
    <w:rsid w:val="00F2048A"/>
    <w:rsid w:val="00F22125"/>
    <w:rsid w:val="00F255C4"/>
    <w:rsid w:val="00F25C5A"/>
    <w:rsid w:val="00F514D8"/>
    <w:rsid w:val="00F56360"/>
    <w:rsid w:val="00F679AD"/>
    <w:rsid w:val="00F74B3A"/>
    <w:rsid w:val="00F75B82"/>
    <w:rsid w:val="00F81541"/>
    <w:rsid w:val="00F860E7"/>
    <w:rsid w:val="00F87107"/>
    <w:rsid w:val="00F95507"/>
    <w:rsid w:val="00FB3994"/>
    <w:rsid w:val="00FB6D86"/>
    <w:rsid w:val="00FC7FDF"/>
    <w:rsid w:val="00FE1A44"/>
    <w:rsid w:val="00FF5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0C73"/>
  <w15:chartTrackingRefBased/>
  <w15:docId w15:val="{AD8C872E-5669-9E4D-89F9-70DF8FE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CA"/>
    <w:pPr>
      <w:ind w:left="720"/>
      <w:contextualSpacing/>
    </w:pPr>
  </w:style>
  <w:style w:type="paragraph" w:styleId="Footer">
    <w:name w:val="footer"/>
    <w:basedOn w:val="Normal"/>
    <w:link w:val="FooterChar"/>
    <w:uiPriority w:val="99"/>
    <w:unhideWhenUsed/>
    <w:rsid w:val="00374FCA"/>
    <w:pPr>
      <w:tabs>
        <w:tab w:val="center" w:pos="4536"/>
        <w:tab w:val="right" w:pos="9072"/>
      </w:tabs>
    </w:pPr>
  </w:style>
  <w:style w:type="character" w:customStyle="1" w:styleId="FooterChar">
    <w:name w:val="Footer Char"/>
    <w:basedOn w:val="DefaultParagraphFont"/>
    <w:link w:val="Footer"/>
    <w:uiPriority w:val="99"/>
    <w:rsid w:val="00374FCA"/>
  </w:style>
  <w:style w:type="character" w:styleId="PageNumber">
    <w:name w:val="page number"/>
    <w:basedOn w:val="DefaultParagraphFont"/>
    <w:uiPriority w:val="99"/>
    <w:semiHidden/>
    <w:unhideWhenUsed/>
    <w:rsid w:val="00374FCA"/>
  </w:style>
  <w:style w:type="character" w:styleId="CommentReference">
    <w:name w:val="annotation reference"/>
    <w:basedOn w:val="DefaultParagraphFont"/>
    <w:uiPriority w:val="99"/>
    <w:semiHidden/>
    <w:unhideWhenUsed/>
    <w:rsid w:val="00C81A8E"/>
    <w:rPr>
      <w:sz w:val="16"/>
      <w:szCs w:val="16"/>
    </w:rPr>
  </w:style>
  <w:style w:type="paragraph" w:styleId="CommentText">
    <w:name w:val="annotation text"/>
    <w:basedOn w:val="Normal"/>
    <w:link w:val="CommentTextChar"/>
    <w:uiPriority w:val="99"/>
    <w:semiHidden/>
    <w:unhideWhenUsed/>
    <w:rsid w:val="00C81A8E"/>
    <w:rPr>
      <w:sz w:val="20"/>
      <w:szCs w:val="20"/>
    </w:rPr>
  </w:style>
  <w:style w:type="character" w:customStyle="1" w:styleId="CommentTextChar">
    <w:name w:val="Comment Text Char"/>
    <w:basedOn w:val="DefaultParagraphFont"/>
    <w:link w:val="CommentText"/>
    <w:uiPriority w:val="99"/>
    <w:semiHidden/>
    <w:rsid w:val="00C81A8E"/>
    <w:rPr>
      <w:sz w:val="20"/>
      <w:szCs w:val="20"/>
    </w:rPr>
  </w:style>
  <w:style w:type="paragraph" w:styleId="CommentSubject">
    <w:name w:val="annotation subject"/>
    <w:basedOn w:val="CommentText"/>
    <w:next w:val="CommentText"/>
    <w:link w:val="CommentSubjectChar"/>
    <w:uiPriority w:val="99"/>
    <w:semiHidden/>
    <w:unhideWhenUsed/>
    <w:rsid w:val="00C81A8E"/>
    <w:rPr>
      <w:b/>
      <w:bCs/>
    </w:rPr>
  </w:style>
  <w:style w:type="character" w:customStyle="1" w:styleId="CommentSubjectChar">
    <w:name w:val="Comment Subject Char"/>
    <w:basedOn w:val="CommentTextChar"/>
    <w:link w:val="CommentSubject"/>
    <w:uiPriority w:val="99"/>
    <w:semiHidden/>
    <w:rsid w:val="00C81A8E"/>
    <w:rPr>
      <w:b/>
      <w:bCs/>
      <w:sz w:val="20"/>
      <w:szCs w:val="20"/>
    </w:rPr>
  </w:style>
  <w:style w:type="paragraph" w:styleId="BalloonText">
    <w:name w:val="Balloon Text"/>
    <w:basedOn w:val="Normal"/>
    <w:link w:val="BalloonTextChar"/>
    <w:uiPriority w:val="99"/>
    <w:semiHidden/>
    <w:unhideWhenUsed/>
    <w:rsid w:val="00C81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A8E"/>
    <w:rPr>
      <w:rFonts w:ascii="Segoe UI" w:hAnsi="Segoe UI" w:cs="Segoe UI"/>
      <w:sz w:val="18"/>
      <w:szCs w:val="18"/>
    </w:rPr>
  </w:style>
  <w:style w:type="paragraph" w:styleId="FootnoteText">
    <w:name w:val="footnote text"/>
    <w:basedOn w:val="Normal"/>
    <w:link w:val="FootnoteTextChar"/>
    <w:uiPriority w:val="99"/>
    <w:unhideWhenUsed/>
    <w:rsid w:val="00622AAF"/>
    <w:rPr>
      <w:sz w:val="20"/>
      <w:szCs w:val="20"/>
    </w:rPr>
  </w:style>
  <w:style w:type="character" w:customStyle="1" w:styleId="FootnoteTextChar">
    <w:name w:val="Footnote Text Char"/>
    <w:basedOn w:val="DefaultParagraphFont"/>
    <w:link w:val="FootnoteText"/>
    <w:uiPriority w:val="99"/>
    <w:rsid w:val="00622AAF"/>
    <w:rPr>
      <w:sz w:val="20"/>
      <w:szCs w:val="20"/>
    </w:rPr>
  </w:style>
  <w:style w:type="character" w:styleId="FootnoteReference">
    <w:name w:val="footnote reference"/>
    <w:basedOn w:val="DefaultParagraphFont"/>
    <w:uiPriority w:val="99"/>
    <w:semiHidden/>
    <w:unhideWhenUsed/>
    <w:rsid w:val="00622AAF"/>
    <w:rPr>
      <w:vertAlign w:val="superscript"/>
    </w:rPr>
  </w:style>
  <w:style w:type="character" w:styleId="Hyperlink">
    <w:name w:val="Hyperlink"/>
    <w:basedOn w:val="DefaultParagraphFont"/>
    <w:uiPriority w:val="99"/>
    <w:unhideWhenUsed/>
    <w:rsid w:val="006F5114"/>
    <w:rPr>
      <w:color w:val="0000FF"/>
      <w:u w:val="single"/>
    </w:rPr>
  </w:style>
  <w:style w:type="character" w:styleId="FollowedHyperlink">
    <w:name w:val="FollowedHyperlink"/>
    <w:basedOn w:val="DefaultParagraphFont"/>
    <w:uiPriority w:val="99"/>
    <w:semiHidden/>
    <w:unhideWhenUsed/>
    <w:rsid w:val="006F5114"/>
    <w:rPr>
      <w:color w:val="954F72" w:themeColor="followedHyperlink"/>
      <w:u w:val="single"/>
    </w:rPr>
  </w:style>
  <w:style w:type="character" w:styleId="UnresolvedMention">
    <w:name w:val="Unresolved Mention"/>
    <w:basedOn w:val="DefaultParagraphFont"/>
    <w:uiPriority w:val="99"/>
    <w:semiHidden/>
    <w:unhideWhenUsed/>
    <w:rsid w:val="005E62D9"/>
    <w:rPr>
      <w:color w:val="605E5C"/>
      <w:shd w:val="clear" w:color="auto" w:fill="E1DFDD"/>
    </w:rPr>
  </w:style>
  <w:style w:type="paragraph" w:styleId="Revision">
    <w:name w:val="Revision"/>
    <w:hidden/>
    <w:uiPriority w:val="99"/>
    <w:semiHidden/>
    <w:rsid w:val="002E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6244">
      <w:bodyDiv w:val="1"/>
      <w:marLeft w:val="0"/>
      <w:marRight w:val="0"/>
      <w:marTop w:val="0"/>
      <w:marBottom w:val="0"/>
      <w:divBdr>
        <w:top w:val="none" w:sz="0" w:space="0" w:color="auto"/>
        <w:left w:val="none" w:sz="0" w:space="0" w:color="auto"/>
        <w:bottom w:val="none" w:sz="0" w:space="0" w:color="auto"/>
        <w:right w:val="none" w:sz="0" w:space="0" w:color="auto"/>
      </w:divBdr>
      <w:divsChild>
        <w:div w:id="691617109">
          <w:marLeft w:val="0"/>
          <w:marRight w:val="0"/>
          <w:marTop w:val="0"/>
          <w:marBottom w:val="0"/>
          <w:divBdr>
            <w:top w:val="none" w:sz="0" w:space="0" w:color="auto"/>
            <w:left w:val="none" w:sz="0" w:space="0" w:color="auto"/>
            <w:bottom w:val="none" w:sz="0" w:space="0" w:color="auto"/>
            <w:right w:val="none" w:sz="0" w:space="0" w:color="auto"/>
          </w:divBdr>
          <w:divsChild>
            <w:div w:id="1532498950">
              <w:marLeft w:val="0"/>
              <w:marRight w:val="0"/>
              <w:marTop w:val="0"/>
              <w:marBottom w:val="0"/>
              <w:divBdr>
                <w:top w:val="none" w:sz="0" w:space="0" w:color="auto"/>
                <w:left w:val="none" w:sz="0" w:space="0" w:color="auto"/>
                <w:bottom w:val="none" w:sz="0" w:space="0" w:color="auto"/>
                <w:right w:val="none" w:sz="0" w:space="0" w:color="auto"/>
              </w:divBdr>
              <w:divsChild>
                <w:div w:id="10862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2239">
      <w:bodyDiv w:val="1"/>
      <w:marLeft w:val="0"/>
      <w:marRight w:val="0"/>
      <w:marTop w:val="0"/>
      <w:marBottom w:val="0"/>
      <w:divBdr>
        <w:top w:val="none" w:sz="0" w:space="0" w:color="auto"/>
        <w:left w:val="none" w:sz="0" w:space="0" w:color="auto"/>
        <w:bottom w:val="none" w:sz="0" w:space="0" w:color="auto"/>
        <w:right w:val="none" w:sz="0" w:space="0" w:color="auto"/>
      </w:divBdr>
      <w:divsChild>
        <w:div w:id="1023436621">
          <w:marLeft w:val="0"/>
          <w:marRight w:val="0"/>
          <w:marTop w:val="0"/>
          <w:marBottom w:val="0"/>
          <w:divBdr>
            <w:top w:val="none" w:sz="0" w:space="0" w:color="auto"/>
            <w:left w:val="none" w:sz="0" w:space="0" w:color="auto"/>
            <w:bottom w:val="none" w:sz="0" w:space="0" w:color="auto"/>
            <w:right w:val="none" w:sz="0" w:space="0" w:color="auto"/>
          </w:divBdr>
          <w:divsChild>
            <w:div w:id="1481380920">
              <w:marLeft w:val="0"/>
              <w:marRight w:val="0"/>
              <w:marTop w:val="0"/>
              <w:marBottom w:val="0"/>
              <w:divBdr>
                <w:top w:val="none" w:sz="0" w:space="0" w:color="auto"/>
                <w:left w:val="none" w:sz="0" w:space="0" w:color="auto"/>
                <w:bottom w:val="none" w:sz="0" w:space="0" w:color="auto"/>
                <w:right w:val="none" w:sz="0" w:space="0" w:color="auto"/>
              </w:divBdr>
              <w:divsChild>
                <w:div w:id="1017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9252">
      <w:bodyDiv w:val="1"/>
      <w:marLeft w:val="0"/>
      <w:marRight w:val="0"/>
      <w:marTop w:val="0"/>
      <w:marBottom w:val="0"/>
      <w:divBdr>
        <w:top w:val="none" w:sz="0" w:space="0" w:color="auto"/>
        <w:left w:val="none" w:sz="0" w:space="0" w:color="auto"/>
        <w:bottom w:val="none" w:sz="0" w:space="0" w:color="auto"/>
        <w:right w:val="none" w:sz="0" w:space="0" w:color="auto"/>
      </w:divBdr>
    </w:div>
    <w:div w:id="690961563">
      <w:bodyDiv w:val="1"/>
      <w:marLeft w:val="0"/>
      <w:marRight w:val="0"/>
      <w:marTop w:val="0"/>
      <w:marBottom w:val="0"/>
      <w:divBdr>
        <w:top w:val="none" w:sz="0" w:space="0" w:color="auto"/>
        <w:left w:val="none" w:sz="0" w:space="0" w:color="auto"/>
        <w:bottom w:val="none" w:sz="0" w:space="0" w:color="auto"/>
        <w:right w:val="none" w:sz="0" w:space="0" w:color="auto"/>
      </w:divBdr>
      <w:divsChild>
        <w:div w:id="38942958">
          <w:marLeft w:val="0"/>
          <w:marRight w:val="0"/>
          <w:marTop w:val="0"/>
          <w:marBottom w:val="0"/>
          <w:divBdr>
            <w:top w:val="none" w:sz="0" w:space="0" w:color="auto"/>
            <w:left w:val="none" w:sz="0" w:space="0" w:color="auto"/>
            <w:bottom w:val="none" w:sz="0" w:space="0" w:color="auto"/>
            <w:right w:val="none" w:sz="0" w:space="0" w:color="auto"/>
          </w:divBdr>
          <w:divsChild>
            <w:div w:id="1981767073">
              <w:marLeft w:val="0"/>
              <w:marRight w:val="0"/>
              <w:marTop w:val="0"/>
              <w:marBottom w:val="0"/>
              <w:divBdr>
                <w:top w:val="none" w:sz="0" w:space="0" w:color="auto"/>
                <w:left w:val="none" w:sz="0" w:space="0" w:color="auto"/>
                <w:bottom w:val="none" w:sz="0" w:space="0" w:color="auto"/>
                <w:right w:val="none" w:sz="0" w:space="0" w:color="auto"/>
              </w:divBdr>
              <w:divsChild>
                <w:div w:id="36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2224">
      <w:bodyDiv w:val="1"/>
      <w:marLeft w:val="0"/>
      <w:marRight w:val="0"/>
      <w:marTop w:val="0"/>
      <w:marBottom w:val="0"/>
      <w:divBdr>
        <w:top w:val="none" w:sz="0" w:space="0" w:color="auto"/>
        <w:left w:val="none" w:sz="0" w:space="0" w:color="auto"/>
        <w:bottom w:val="none" w:sz="0" w:space="0" w:color="auto"/>
        <w:right w:val="none" w:sz="0" w:space="0" w:color="auto"/>
      </w:divBdr>
      <w:divsChild>
        <w:div w:id="596258150">
          <w:marLeft w:val="0"/>
          <w:marRight w:val="0"/>
          <w:marTop w:val="0"/>
          <w:marBottom w:val="0"/>
          <w:divBdr>
            <w:top w:val="none" w:sz="0" w:space="0" w:color="auto"/>
            <w:left w:val="none" w:sz="0" w:space="0" w:color="auto"/>
            <w:bottom w:val="none" w:sz="0" w:space="0" w:color="auto"/>
            <w:right w:val="none" w:sz="0" w:space="0" w:color="auto"/>
          </w:divBdr>
          <w:divsChild>
            <w:div w:id="703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400">
      <w:bodyDiv w:val="1"/>
      <w:marLeft w:val="0"/>
      <w:marRight w:val="0"/>
      <w:marTop w:val="0"/>
      <w:marBottom w:val="0"/>
      <w:divBdr>
        <w:top w:val="none" w:sz="0" w:space="0" w:color="auto"/>
        <w:left w:val="none" w:sz="0" w:space="0" w:color="auto"/>
        <w:bottom w:val="none" w:sz="0" w:space="0" w:color="auto"/>
        <w:right w:val="none" w:sz="0" w:space="0" w:color="auto"/>
      </w:divBdr>
    </w:div>
    <w:div w:id="1318799217">
      <w:bodyDiv w:val="1"/>
      <w:marLeft w:val="0"/>
      <w:marRight w:val="0"/>
      <w:marTop w:val="0"/>
      <w:marBottom w:val="0"/>
      <w:divBdr>
        <w:top w:val="none" w:sz="0" w:space="0" w:color="auto"/>
        <w:left w:val="none" w:sz="0" w:space="0" w:color="auto"/>
        <w:bottom w:val="none" w:sz="0" w:space="0" w:color="auto"/>
        <w:right w:val="none" w:sz="0" w:space="0" w:color="auto"/>
      </w:divBdr>
    </w:div>
    <w:div w:id="1610357435">
      <w:bodyDiv w:val="1"/>
      <w:marLeft w:val="0"/>
      <w:marRight w:val="0"/>
      <w:marTop w:val="0"/>
      <w:marBottom w:val="0"/>
      <w:divBdr>
        <w:top w:val="none" w:sz="0" w:space="0" w:color="auto"/>
        <w:left w:val="none" w:sz="0" w:space="0" w:color="auto"/>
        <w:bottom w:val="none" w:sz="0" w:space="0" w:color="auto"/>
        <w:right w:val="none" w:sz="0" w:space="0" w:color="auto"/>
      </w:divBdr>
    </w:div>
    <w:div w:id="1683893279">
      <w:bodyDiv w:val="1"/>
      <w:marLeft w:val="0"/>
      <w:marRight w:val="0"/>
      <w:marTop w:val="0"/>
      <w:marBottom w:val="0"/>
      <w:divBdr>
        <w:top w:val="none" w:sz="0" w:space="0" w:color="auto"/>
        <w:left w:val="none" w:sz="0" w:space="0" w:color="auto"/>
        <w:bottom w:val="none" w:sz="0" w:space="0" w:color="auto"/>
        <w:right w:val="none" w:sz="0" w:space="0" w:color="auto"/>
      </w:divBdr>
      <w:divsChild>
        <w:div w:id="44791812">
          <w:marLeft w:val="0"/>
          <w:marRight w:val="0"/>
          <w:marTop w:val="0"/>
          <w:marBottom w:val="0"/>
          <w:divBdr>
            <w:top w:val="none" w:sz="0" w:space="0" w:color="auto"/>
            <w:left w:val="none" w:sz="0" w:space="0" w:color="auto"/>
            <w:bottom w:val="none" w:sz="0" w:space="0" w:color="auto"/>
            <w:right w:val="none" w:sz="0" w:space="0" w:color="auto"/>
          </w:divBdr>
          <w:divsChild>
            <w:div w:id="1502769904">
              <w:marLeft w:val="0"/>
              <w:marRight w:val="0"/>
              <w:marTop w:val="0"/>
              <w:marBottom w:val="0"/>
              <w:divBdr>
                <w:top w:val="none" w:sz="0" w:space="0" w:color="auto"/>
                <w:left w:val="none" w:sz="0" w:space="0" w:color="auto"/>
                <w:bottom w:val="none" w:sz="0" w:space="0" w:color="auto"/>
                <w:right w:val="none" w:sz="0" w:space="0" w:color="auto"/>
              </w:divBdr>
              <w:divsChild>
                <w:div w:id="2616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2994">
      <w:bodyDiv w:val="1"/>
      <w:marLeft w:val="0"/>
      <w:marRight w:val="0"/>
      <w:marTop w:val="0"/>
      <w:marBottom w:val="0"/>
      <w:divBdr>
        <w:top w:val="none" w:sz="0" w:space="0" w:color="auto"/>
        <w:left w:val="none" w:sz="0" w:space="0" w:color="auto"/>
        <w:bottom w:val="none" w:sz="0" w:space="0" w:color="auto"/>
        <w:right w:val="none" w:sz="0" w:space="0" w:color="auto"/>
      </w:divBdr>
      <w:divsChild>
        <w:div w:id="2043169196">
          <w:marLeft w:val="0"/>
          <w:marRight w:val="0"/>
          <w:marTop w:val="0"/>
          <w:marBottom w:val="0"/>
          <w:divBdr>
            <w:top w:val="none" w:sz="0" w:space="0" w:color="auto"/>
            <w:left w:val="none" w:sz="0" w:space="0" w:color="auto"/>
            <w:bottom w:val="none" w:sz="0" w:space="0" w:color="auto"/>
            <w:right w:val="none" w:sz="0" w:space="0" w:color="auto"/>
          </w:divBdr>
          <w:divsChild>
            <w:div w:id="1493109023">
              <w:marLeft w:val="0"/>
              <w:marRight w:val="0"/>
              <w:marTop w:val="0"/>
              <w:marBottom w:val="0"/>
              <w:divBdr>
                <w:top w:val="none" w:sz="0" w:space="0" w:color="auto"/>
                <w:left w:val="none" w:sz="0" w:space="0" w:color="auto"/>
                <w:bottom w:val="none" w:sz="0" w:space="0" w:color="auto"/>
                <w:right w:val="none" w:sz="0" w:space="0" w:color="auto"/>
              </w:divBdr>
              <w:divsChild>
                <w:div w:id="9825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ia.europa.eu/jcms/upload/docs/application/pdf/2020-11/ndr_2018-004_synthese-neutralise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cms/upload/docs/application/pdf/2020-11/ndr_2018-004_synthese-neutralisee-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cms/upload/docs/application/pdf/2020-11/ndr_2018-004_synthese-neutralisee-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uria.europa.eu/juris/document/document.jsf?text=&amp;docid=247105&amp;pageIndex=0&amp;doclang=SV&amp;mode=lst&amp;dir=&amp;occ=first&amp;part=1&amp;cid=8432549"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56461&amp;pageIndex=0&amp;doclang=nl&amp;mode=lst&amp;dir=&amp;occ=first&amp;part=1&amp;cid=8432549"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7738-D646-458B-83A6-FD89ADA6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5954</Characters>
  <Application>Microsoft Office Word</Application>
  <DocSecurity>0</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de Groot</dc:creator>
  <cp:keywords/>
  <dc:description/>
  <cp:lastModifiedBy>Liis Lindström</cp:lastModifiedBy>
  <cp:revision>5</cp:revision>
  <cp:lastPrinted>2023-02-16T12:47:00Z</cp:lastPrinted>
  <dcterms:created xsi:type="dcterms:W3CDTF">2024-11-06T11:28:00Z</dcterms:created>
  <dcterms:modified xsi:type="dcterms:W3CDTF">2024-11-08T09:58:00Z</dcterms:modified>
</cp:coreProperties>
</file>